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B5" w:rsidRPr="006313A3" w:rsidRDefault="00DA18BA" w:rsidP="00A704A0">
      <w:pPr>
        <w:spacing w:line="360" w:lineRule="auto"/>
        <w:jc w:val="both"/>
        <w:rPr>
          <w:rFonts w:ascii="Arial" w:hAnsi="Arial" w:cs="Arial"/>
          <w:b/>
          <w:sz w:val="32"/>
          <w:szCs w:val="32"/>
        </w:rPr>
      </w:pPr>
      <w:r w:rsidRPr="006313A3">
        <w:rPr>
          <w:rFonts w:ascii="Arial" w:hAnsi="Arial" w:cs="Arial"/>
          <w:b/>
          <w:sz w:val="32"/>
          <w:szCs w:val="32"/>
        </w:rPr>
        <w:t>Die Neufassung der DIN EN 12195-1 : 06/2011</w:t>
      </w:r>
    </w:p>
    <w:p w:rsidR="00DA18BA" w:rsidRDefault="00DA18BA" w:rsidP="00A704A0">
      <w:pPr>
        <w:spacing w:line="360" w:lineRule="auto"/>
        <w:jc w:val="both"/>
        <w:rPr>
          <w:rFonts w:ascii="Arial" w:hAnsi="Arial" w:cs="Arial"/>
        </w:rPr>
      </w:pPr>
      <w:r>
        <w:rPr>
          <w:rFonts w:ascii="Arial" w:hAnsi="Arial" w:cs="Arial"/>
        </w:rPr>
        <w:t>Es ist wahrscheinlich ein einmaliger Vorgang, dass eine Norm bereits vor ihrer Veröffentl</w:t>
      </w:r>
      <w:r>
        <w:rPr>
          <w:rFonts w:ascii="Arial" w:hAnsi="Arial" w:cs="Arial"/>
        </w:rPr>
        <w:t>i</w:t>
      </w:r>
      <w:r>
        <w:rPr>
          <w:rFonts w:ascii="Arial" w:hAnsi="Arial" w:cs="Arial"/>
        </w:rPr>
        <w:t>chung derart vehement kritisiert und abgelehnt wurde wie die Neu</w:t>
      </w:r>
      <w:r w:rsidR="006C2DC4">
        <w:rPr>
          <w:rFonts w:ascii="Arial" w:hAnsi="Arial" w:cs="Arial"/>
        </w:rPr>
        <w:t>fassung der DIN EN 12195 Teil 1</w:t>
      </w:r>
      <w:r>
        <w:rPr>
          <w:rFonts w:ascii="Arial" w:hAnsi="Arial" w:cs="Arial"/>
        </w:rPr>
        <w:t>: 06/2011. Von allen Seiten, ob von der Industrie, den Kontrollorganen oder den Zur</w:t>
      </w:r>
      <w:r>
        <w:rPr>
          <w:rFonts w:ascii="Arial" w:hAnsi="Arial" w:cs="Arial"/>
        </w:rPr>
        <w:t>r</w:t>
      </w:r>
      <w:r>
        <w:rPr>
          <w:rFonts w:ascii="Arial" w:hAnsi="Arial" w:cs="Arial"/>
        </w:rPr>
        <w:t>mittelherstellern wird die neue Norm als unsicher und realitätsfremd verteufelt. Um zu ve</w:t>
      </w:r>
      <w:r>
        <w:rPr>
          <w:rFonts w:ascii="Arial" w:hAnsi="Arial" w:cs="Arial"/>
        </w:rPr>
        <w:t>r</w:t>
      </w:r>
      <w:r>
        <w:rPr>
          <w:rFonts w:ascii="Arial" w:hAnsi="Arial" w:cs="Arial"/>
        </w:rPr>
        <w:t>stehen was dabei die Gemüter so bewegt  muss man sich zuerst einmal mit der Entst</w:t>
      </w:r>
      <w:r>
        <w:rPr>
          <w:rFonts w:ascii="Arial" w:hAnsi="Arial" w:cs="Arial"/>
        </w:rPr>
        <w:t>e</w:t>
      </w:r>
      <w:r>
        <w:rPr>
          <w:rFonts w:ascii="Arial" w:hAnsi="Arial" w:cs="Arial"/>
        </w:rPr>
        <w:t xml:space="preserve">hungsgeschichte dieser so umstrittenen Norm auseinandersetzten. </w:t>
      </w:r>
    </w:p>
    <w:p w:rsidR="00DA18BA" w:rsidRDefault="00DA18BA" w:rsidP="00A704A0">
      <w:pPr>
        <w:spacing w:line="360" w:lineRule="auto"/>
        <w:jc w:val="both"/>
        <w:rPr>
          <w:rFonts w:ascii="Arial" w:hAnsi="Arial" w:cs="Arial"/>
        </w:rPr>
      </w:pPr>
      <w:r>
        <w:rPr>
          <w:rFonts w:ascii="Arial" w:hAnsi="Arial" w:cs="Arial"/>
        </w:rPr>
        <w:t xml:space="preserve">In den 1970’iger Jahren entstand beim VDI die Richtlinie 2700 </w:t>
      </w:r>
      <w:r w:rsidR="00A704A0">
        <w:rPr>
          <w:rFonts w:ascii="Arial" w:hAnsi="Arial" w:cs="Arial"/>
        </w:rPr>
        <w:t>mit</w:t>
      </w:r>
      <w:r>
        <w:rPr>
          <w:rFonts w:ascii="Arial" w:hAnsi="Arial" w:cs="Arial"/>
        </w:rPr>
        <w:t xml:space="preserve"> dem Titel „Ladungssich</w:t>
      </w:r>
      <w:r>
        <w:rPr>
          <w:rFonts w:ascii="Arial" w:hAnsi="Arial" w:cs="Arial"/>
        </w:rPr>
        <w:t>e</w:t>
      </w:r>
      <w:r>
        <w:rPr>
          <w:rFonts w:ascii="Arial" w:hAnsi="Arial" w:cs="Arial"/>
        </w:rPr>
        <w:t xml:space="preserve">rung auf Straßenfahrzeugen“. </w:t>
      </w:r>
      <w:r w:rsidR="0038452C">
        <w:rPr>
          <w:rFonts w:ascii="Arial" w:hAnsi="Arial" w:cs="Arial"/>
        </w:rPr>
        <w:t xml:space="preserve">Eine Ergänzung der VDI 2700 </w:t>
      </w:r>
      <w:r w:rsidR="006A0144">
        <w:rPr>
          <w:rFonts w:ascii="Arial" w:hAnsi="Arial" w:cs="Arial"/>
        </w:rPr>
        <w:t>stellte die VDI-Richtlinie 2702–</w:t>
      </w:r>
      <w:r w:rsidR="0038452C">
        <w:rPr>
          <w:rFonts w:ascii="Arial" w:hAnsi="Arial" w:cs="Arial"/>
        </w:rPr>
        <w:t xml:space="preserve">Zurrkräfte dar, aus der dann </w:t>
      </w:r>
      <w:r w:rsidR="00376BDF">
        <w:rPr>
          <w:rFonts w:ascii="Arial" w:hAnsi="Arial" w:cs="Arial"/>
        </w:rPr>
        <w:t>im November 2002</w:t>
      </w:r>
      <w:r w:rsidR="0038452C">
        <w:rPr>
          <w:rFonts w:ascii="Arial" w:hAnsi="Arial" w:cs="Arial"/>
        </w:rPr>
        <w:t xml:space="preserve"> die VDI 27</w:t>
      </w:r>
      <w:r w:rsidR="006A0144">
        <w:rPr>
          <w:rFonts w:ascii="Arial" w:hAnsi="Arial" w:cs="Arial"/>
        </w:rPr>
        <w:t>00 Blatt 2–</w:t>
      </w:r>
      <w:r w:rsidR="0038452C">
        <w:rPr>
          <w:rFonts w:ascii="Arial" w:hAnsi="Arial" w:cs="Arial"/>
        </w:rPr>
        <w:t>Zurrkräfte wurde.</w:t>
      </w:r>
      <w:r w:rsidR="00376BDF">
        <w:rPr>
          <w:rFonts w:ascii="Arial" w:hAnsi="Arial" w:cs="Arial"/>
        </w:rPr>
        <w:t xml:space="preserve"> Im Jahre 1991 legte das Oberlandesgericht Koblenz in einem Beschluss fest, dass die VDI Richtlinie 2700 ff den gleichen Status besitzt wie ein Gutachten eines amtlich anerkannten Sachverständigen. Damit wurde aus der VDI-Richtlinie eine anerkannte Regel der Technik im heutigen Sinne.</w:t>
      </w:r>
    </w:p>
    <w:p w:rsidR="00376BDF" w:rsidRDefault="00376BDF" w:rsidP="00A704A0">
      <w:pPr>
        <w:spacing w:line="360" w:lineRule="auto"/>
        <w:jc w:val="both"/>
        <w:rPr>
          <w:rFonts w:ascii="Arial" w:hAnsi="Arial" w:cs="Arial"/>
        </w:rPr>
      </w:pPr>
      <w:r>
        <w:rPr>
          <w:rFonts w:ascii="Arial" w:hAnsi="Arial" w:cs="Arial"/>
        </w:rPr>
        <w:t xml:space="preserve">Unter dem Einfluss der VDI 2700 Blatt 2 entstand dann im </w:t>
      </w:r>
      <w:r w:rsidR="00C5207D">
        <w:rPr>
          <w:rFonts w:ascii="Arial" w:hAnsi="Arial" w:cs="Arial"/>
        </w:rPr>
        <w:t>Dezember</w:t>
      </w:r>
      <w:r>
        <w:rPr>
          <w:rFonts w:ascii="Arial" w:hAnsi="Arial" w:cs="Arial"/>
        </w:rPr>
        <w:t xml:space="preserve"> 2003 die erste eur</w:t>
      </w:r>
      <w:r>
        <w:rPr>
          <w:rFonts w:ascii="Arial" w:hAnsi="Arial" w:cs="Arial"/>
        </w:rPr>
        <w:t>o</w:t>
      </w:r>
      <w:r>
        <w:rPr>
          <w:rFonts w:ascii="Arial" w:hAnsi="Arial" w:cs="Arial"/>
        </w:rPr>
        <w:t>paweit gültige Berechnungsnorm in Form der DIN EN 12195-1</w:t>
      </w:r>
      <w:r w:rsidR="00C5207D">
        <w:rPr>
          <w:rFonts w:ascii="Arial" w:hAnsi="Arial" w:cs="Arial"/>
        </w:rPr>
        <w:t>, der alle Länder außer Schweden und Großbritannien zustimmten.</w:t>
      </w:r>
      <w:r>
        <w:rPr>
          <w:rFonts w:ascii="Arial" w:hAnsi="Arial" w:cs="Arial"/>
        </w:rPr>
        <w:t xml:space="preserve"> </w:t>
      </w:r>
      <w:r w:rsidR="00C5207D">
        <w:rPr>
          <w:rFonts w:ascii="Arial" w:hAnsi="Arial" w:cs="Arial"/>
        </w:rPr>
        <w:t>I</w:t>
      </w:r>
      <w:r>
        <w:rPr>
          <w:rFonts w:ascii="Arial" w:hAnsi="Arial" w:cs="Arial"/>
        </w:rPr>
        <w:t xml:space="preserve">m April 2004 </w:t>
      </w:r>
      <w:r w:rsidR="00C5207D">
        <w:rPr>
          <w:rFonts w:ascii="Arial" w:hAnsi="Arial" w:cs="Arial"/>
        </w:rPr>
        <w:t xml:space="preserve">wurde die Norm </w:t>
      </w:r>
      <w:r>
        <w:rPr>
          <w:rFonts w:ascii="Arial" w:hAnsi="Arial" w:cs="Arial"/>
        </w:rPr>
        <w:t xml:space="preserve">in Deutschland veröffentlicht und </w:t>
      </w:r>
      <w:r w:rsidR="00C5207D">
        <w:rPr>
          <w:rFonts w:ascii="Arial" w:hAnsi="Arial" w:cs="Arial"/>
        </w:rPr>
        <w:t xml:space="preserve">galt </w:t>
      </w:r>
      <w:r>
        <w:rPr>
          <w:rFonts w:ascii="Arial" w:hAnsi="Arial" w:cs="Arial"/>
        </w:rPr>
        <w:t xml:space="preserve">ebenfalls </w:t>
      </w:r>
      <w:r w:rsidR="00C5207D">
        <w:rPr>
          <w:rFonts w:ascii="Arial" w:hAnsi="Arial" w:cs="Arial"/>
        </w:rPr>
        <w:t>seitdem als</w:t>
      </w:r>
      <w:r>
        <w:rPr>
          <w:rFonts w:ascii="Arial" w:hAnsi="Arial" w:cs="Arial"/>
        </w:rPr>
        <w:t xml:space="preserve"> anerkann</w:t>
      </w:r>
      <w:r w:rsidR="00C5207D">
        <w:rPr>
          <w:rFonts w:ascii="Arial" w:hAnsi="Arial" w:cs="Arial"/>
        </w:rPr>
        <w:t>te Regel der Technik</w:t>
      </w:r>
      <w:r>
        <w:rPr>
          <w:rFonts w:ascii="Arial" w:hAnsi="Arial" w:cs="Arial"/>
        </w:rPr>
        <w:t>.</w:t>
      </w:r>
    </w:p>
    <w:p w:rsidR="00C5207D" w:rsidRDefault="00376BDF" w:rsidP="00A704A0">
      <w:pPr>
        <w:spacing w:line="360" w:lineRule="auto"/>
        <w:jc w:val="both"/>
        <w:rPr>
          <w:rFonts w:ascii="Arial" w:hAnsi="Arial" w:cs="Arial"/>
        </w:rPr>
      </w:pPr>
      <w:r>
        <w:rPr>
          <w:rFonts w:ascii="Arial" w:hAnsi="Arial" w:cs="Arial"/>
        </w:rPr>
        <w:t xml:space="preserve">Das bedeutete aber auch, dass seit </w:t>
      </w:r>
      <w:r w:rsidR="00C5207D">
        <w:rPr>
          <w:rFonts w:ascii="Arial" w:hAnsi="Arial" w:cs="Arial"/>
        </w:rPr>
        <w:t xml:space="preserve">April </w:t>
      </w:r>
      <w:r>
        <w:rPr>
          <w:rFonts w:ascii="Arial" w:hAnsi="Arial" w:cs="Arial"/>
        </w:rPr>
        <w:t>2004 in Deutschland zwei Regelwerke parallel exi</w:t>
      </w:r>
      <w:r>
        <w:rPr>
          <w:rFonts w:ascii="Arial" w:hAnsi="Arial" w:cs="Arial"/>
        </w:rPr>
        <w:t>s</w:t>
      </w:r>
      <w:r>
        <w:rPr>
          <w:rFonts w:ascii="Arial" w:hAnsi="Arial" w:cs="Arial"/>
        </w:rPr>
        <w:t xml:space="preserve">tierten, die sich aber bei den Berechnungen in einem wesentlichen Punkt unterschieden. Beim Niederzurren einer Ladung verteilt sich die Kraft des Zurrmittels nicht gleichmäßig auf beide Seiten des Ladegutes. Im Regelfalle wird auf der </w:t>
      </w:r>
      <w:r w:rsidR="00630045">
        <w:rPr>
          <w:rFonts w:ascii="Arial" w:hAnsi="Arial" w:cs="Arial"/>
        </w:rPr>
        <w:t xml:space="preserve">Seite der </w:t>
      </w:r>
      <w:proofErr w:type="spellStart"/>
      <w:r w:rsidR="00630045">
        <w:rPr>
          <w:rFonts w:ascii="Arial" w:hAnsi="Arial" w:cs="Arial"/>
        </w:rPr>
        <w:t>Niederzurrung</w:t>
      </w:r>
      <w:proofErr w:type="spellEnd"/>
      <w:r w:rsidR="00630045">
        <w:rPr>
          <w:rFonts w:ascii="Arial" w:hAnsi="Arial" w:cs="Arial"/>
        </w:rPr>
        <w:t xml:space="preserve">, die dem Spannelement gegenüberliegt eine deutlich geringere Vorspannung erreicht. Dies wird im Text der VDI-Richtlinie zwar erwähnt aber in der Berechnung nicht berücksichtigt. Anders bei der DIN EN 12195-1. Hier wird die unterschiedliche Kraftverteilung durch die Einführung des sogenannten </w:t>
      </w:r>
      <w:r w:rsidR="00C5207D">
        <w:rPr>
          <w:rFonts w:ascii="Arial" w:hAnsi="Arial" w:cs="Arial"/>
        </w:rPr>
        <w:t>k</w:t>
      </w:r>
      <w:r w:rsidR="00630045">
        <w:rPr>
          <w:rFonts w:ascii="Arial" w:hAnsi="Arial" w:cs="Arial"/>
        </w:rPr>
        <w:t xml:space="preserve">-Faktors (1,5) in den Berechnungen berücksichtigt. Beim Niederzurren steigt dadurch die Anzahl der benötigten Zurrmittel um ca. 1/3 </w:t>
      </w:r>
      <w:r w:rsidR="00C5207D">
        <w:rPr>
          <w:rFonts w:ascii="Arial" w:hAnsi="Arial" w:cs="Arial"/>
        </w:rPr>
        <w:t>im Vergleich zur VDI-Richtlinie 2700 Blatt 2</w:t>
      </w:r>
      <w:r w:rsidR="006A0144">
        <w:rPr>
          <w:rFonts w:ascii="Arial" w:hAnsi="Arial" w:cs="Arial"/>
        </w:rPr>
        <w:t xml:space="preserve"> </w:t>
      </w:r>
      <w:r w:rsidR="00C5207D">
        <w:rPr>
          <w:rFonts w:ascii="Arial" w:hAnsi="Arial" w:cs="Arial"/>
        </w:rPr>
        <w:t>an.</w:t>
      </w:r>
    </w:p>
    <w:p w:rsidR="00E83FB7" w:rsidRDefault="00C5207D" w:rsidP="00A704A0">
      <w:pPr>
        <w:autoSpaceDE w:val="0"/>
        <w:autoSpaceDN w:val="0"/>
        <w:adjustRightInd w:val="0"/>
        <w:spacing w:after="0" w:line="360" w:lineRule="auto"/>
        <w:jc w:val="both"/>
        <w:rPr>
          <w:rFonts w:ascii="Arial" w:hAnsi="Arial" w:cs="Arial"/>
        </w:rPr>
      </w:pPr>
      <w:r>
        <w:rPr>
          <w:rFonts w:ascii="Arial" w:hAnsi="Arial" w:cs="Arial"/>
        </w:rPr>
        <w:t xml:space="preserve">Bereits </w:t>
      </w:r>
      <w:r w:rsidR="00E83FB7">
        <w:rPr>
          <w:rFonts w:ascii="Arial" w:hAnsi="Arial" w:cs="Arial"/>
        </w:rPr>
        <w:t>Ende</w:t>
      </w:r>
      <w:r>
        <w:rPr>
          <w:rFonts w:ascii="Arial" w:hAnsi="Arial" w:cs="Arial"/>
        </w:rPr>
        <w:t xml:space="preserve"> 2005</w:t>
      </w:r>
      <w:r w:rsidR="00630045">
        <w:rPr>
          <w:rFonts w:ascii="Arial" w:hAnsi="Arial" w:cs="Arial"/>
        </w:rPr>
        <w:t xml:space="preserve"> </w:t>
      </w:r>
      <w:r>
        <w:rPr>
          <w:rFonts w:ascii="Arial" w:hAnsi="Arial" w:cs="Arial"/>
        </w:rPr>
        <w:t xml:space="preserve">wurde </w:t>
      </w:r>
      <w:r w:rsidR="00E83FB7">
        <w:rPr>
          <w:rFonts w:ascii="Arial" w:hAnsi="Arial" w:cs="Arial"/>
        </w:rPr>
        <w:t>von sieben CEN-Mitgliedsstaaten (</w:t>
      </w:r>
      <w:r w:rsidR="00E83FB7" w:rsidRPr="00E83FB7">
        <w:rPr>
          <w:rFonts w:ascii="Arial" w:hAnsi="Arial" w:cs="Arial"/>
        </w:rPr>
        <w:t>D</w:t>
      </w:r>
      <w:r w:rsidR="004F71E1">
        <w:rPr>
          <w:rFonts w:ascii="Arial" w:hAnsi="Arial" w:cs="Arial"/>
        </w:rPr>
        <w:t>ä</w:t>
      </w:r>
      <w:r w:rsidR="00E83FB7" w:rsidRPr="00E83FB7">
        <w:rPr>
          <w:rFonts w:ascii="Arial" w:hAnsi="Arial" w:cs="Arial"/>
        </w:rPr>
        <w:t>nemark, Finnland, Fran</w:t>
      </w:r>
      <w:r w:rsidR="00E83FB7" w:rsidRPr="00E83FB7">
        <w:rPr>
          <w:rFonts w:ascii="Arial" w:hAnsi="Arial" w:cs="Arial"/>
        </w:rPr>
        <w:t>k</w:t>
      </w:r>
      <w:r w:rsidR="00E83FB7" w:rsidRPr="00E83FB7">
        <w:rPr>
          <w:rFonts w:ascii="Arial" w:hAnsi="Arial" w:cs="Arial"/>
        </w:rPr>
        <w:t xml:space="preserve">reich, </w:t>
      </w:r>
      <w:r w:rsidR="004F71E1" w:rsidRPr="00E83FB7">
        <w:rPr>
          <w:rFonts w:ascii="Arial" w:hAnsi="Arial" w:cs="Arial"/>
        </w:rPr>
        <w:t>Groß</w:t>
      </w:r>
      <w:r w:rsidR="004F71E1">
        <w:rPr>
          <w:rFonts w:ascii="Arial" w:hAnsi="Arial" w:cs="Arial"/>
        </w:rPr>
        <w:t>b</w:t>
      </w:r>
      <w:r w:rsidR="004F71E1" w:rsidRPr="00E83FB7">
        <w:rPr>
          <w:rFonts w:ascii="Arial" w:hAnsi="Arial" w:cs="Arial"/>
        </w:rPr>
        <w:t>ritannien</w:t>
      </w:r>
      <w:r w:rsidR="00E83FB7" w:rsidRPr="00E83FB7">
        <w:rPr>
          <w:rFonts w:ascii="Arial" w:hAnsi="Arial" w:cs="Arial"/>
        </w:rPr>
        <w:t>, Italien,</w:t>
      </w:r>
      <w:r w:rsidR="00E83FB7">
        <w:rPr>
          <w:rFonts w:ascii="Arial" w:hAnsi="Arial" w:cs="Arial"/>
        </w:rPr>
        <w:t xml:space="preserve"> </w:t>
      </w:r>
      <w:r w:rsidR="00E83FB7" w:rsidRPr="00E83FB7">
        <w:rPr>
          <w:rFonts w:ascii="Arial" w:hAnsi="Arial" w:cs="Arial"/>
        </w:rPr>
        <w:t>Niederlande, Schweden</w:t>
      </w:r>
      <w:r w:rsidR="00E83FB7">
        <w:rPr>
          <w:rFonts w:ascii="Arial" w:hAnsi="Arial" w:cs="Arial"/>
        </w:rPr>
        <w:t xml:space="preserve">) </w:t>
      </w:r>
      <w:r>
        <w:rPr>
          <w:rFonts w:ascii="Arial" w:hAnsi="Arial" w:cs="Arial"/>
        </w:rPr>
        <w:t>der Antrag gestellt die DIN EN 12195-1</w:t>
      </w:r>
      <w:r w:rsidR="00E83FB7">
        <w:rPr>
          <w:rFonts w:ascii="Arial" w:hAnsi="Arial" w:cs="Arial"/>
        </w:rPr>
        <w:t>:2003</w:t>
      </w:r>
      <w:r>
        <w:rPr>
          <w:rFonts w:ascii="Arial" w:hAnsi="Arial" w:cs="Arial"/>
        </w:rPr>
        <w:t xml:space="preserve"> zu überarbeiten.</w:t>
      </w:r>
      <w:r w:rsidR="00E83FB7">
        <w:rPr>
          <w:rFonts w:ascii="Arial" w:hAnsi="Arial" w:cs="Arial"/>
        </w:rPr>
        <w:t xml:space="preserve"> </w:t>
      </w:r>
    </w:p>
    <w:p w:rsidR="00C924AF" w:rsidRDefault="00C924AF" w:rsidP="00A704A0">
      <w:pPr>
        <w:autoSpaceDE w:val="0"/>
        <w:autoSpaceDN w:val="0"/>
        <w:adjustRightInd w:val="0"/>
        <w:spacing w:after="100" w:afterAutospacing="1" w:line="360" w:lineRule="auto"/>
        <w:jc w:val="both"/>
        <w:rPr>
          <w:rFonts w:ascii="Arial" w:hAnsi="Arial" w:cs="Arial"/>
        </w:rPr>
      </w:pPr>
      <w:r>
        <w:rPr>
          <w:rFonts w:ascii="Arial" w:hAnsi="Arial" w:cs="Arial"/>
        </w:rPr>
        <w:t xml:space="preserve">Mit der Revision der Norm </w:t>
      </w:r>
      <w:r w:rsidR="004F71E1">
        <w:rPr>
          <w:rFonts w:ascii="Arial" w:hAnsi="Arial" w:cs="Arial"/>
        </w:rPr>
        <w:t>würde</w:t>
      </w:r>
      <w:r>
        <w:rPr>
          <w:rFonts w:ascii="Arial" w:hAnsi="Arial" w:cs="Arial"/>
        </w:rPr>
        <w:t xml:space="preserve"> das bisherige Sicherheitsniveau deutlich unterschritten. </w:t>
      </w:r>
    </w:p>
    <w:p w:rsidR="00453FAA" w:rsidRDefault="00453FAA" w:rsidP="00A704A0">
      <w:pPr>
        <w:autoSpaceDE w:val="0"/>
        <w:autoSpaceDN w:val="0"/>
        <w:adjustRightInd w:val="0"/>
        <w:spacing w:after="100" w:afterAutospacing="1" w:line="360" w:lineRule="auto"/>
        <w:jc w:val="both"/>
        <w:rPr>
          <w:rFonts w:ascii="Arial" w:hAnsi="Arial" w:cs="Arial"/>
        </w:rPr>
      </w:pPr>
      <w:r>
        <w:rPr>
          <w:rFonts w:ascii="Arial" w:hAnsi="Arial" w:cs="Arial"/>
        </w:rPr>
        <w:lastRenderedPageBreak/>
        <w:t>Viele Entscheidungen bei der Entstehung der neuen Normen w</w:t>
      </w:r>
      <w:r w:rsidR="004F71E1">
        <w:rPr>
          <w:rFonts w:ascii="Arial" w:hAnsi="Arial" w:cs="Arial"/>
        </w:rPr>
        <w:t>u</w:t>
      </w:r>
      <w:r>
        <w:rPr>
          <w:rFonts w:ascii="Arial" w:hAnsi="Arial" w:cs="Arial"/>
        </w:rPr>
        <w:t xml:space="preserve">rden unter </w:t>
      </w:r>
      <w:r w:rsidR="004F71E1">
        <w:rPr>
          <w:rFonts w:ascii="Arial" w:hAnsi="Arial" w:cs="Arial"/>
        </w:rPr>
        <w:t>rein wirtschaftl</w:t>
      </w:r>
      <w:r w:rsidR="004F71E1">
        <w:rPr>
          <w:rFonts w:ascii="Arial" w:hAnsi="Arial" w:cs="Arial"/>
        </w:rPr>
        <w:t>i</w:t>
      </w:r>
      <w:r w:rsidR="004F71E1">
        <w:rPr>
          <w:rFonts w:ascii="Arial" w:hAnsi="Arial" w:cs="Arial"/>
        </w:rPr>
        <w:t xml:space="preserve">chen Gesichtspunkten, aber </w:t>
      </w:r>
      <w:r w:rsidR="006A0144">
        <w:rPr>
          <w:rFonts w:ascii="Arial" w:hAnsi="Arial" w:cs="Arial"/>
        </w:rPr>
        <w:t xml:space="preserve">auch </w:t>
      </w:r>
      <w:r w:rsidR="004F71E1">
        <w:rPr>
          <w:rFonts w:ascii="Arial" w:hAnsi="Arial" w:cs="Arial"/>
        </w:rPr>
        <w:t xml:space="preserve">unter </w:t>
      </w:r>
      <w:r>
        <w:rPr>
          <w:rFonts w:ascii="Arial" w:hAnsi="Arial" w:cs="Arial"/>
        </w:rPr>
        <w:t>Zeitdruck getroffen. Versuchsergebnisse w</w:t>
      </w:r>
      <w:r w:rsidR="004F71E1">
        <w:rPr>
          <w:rFonts w:ascii="Arial" w:hAnsi="Arial" w:cs="Arial"/>
        </w:rPr>
        <w:t>u</w:t>
      </w:r>
      <w:r>
        <w:rPr>
          <w:rFonts w:ascii="Arial" w:hAnsi="Arial" w:cs="Arial"/>
        </w:rPr>
        <w:t>rden aus Gründen der Nachvollziehbarkeit gegenseitig oft nicht anerkannt, bzw. in den Sitzungen ve</w:t>
      </w:r>
      <w:r>
        <w:rPr>
          <w:rFonts w:ascii="Arial" w:hAnsi="Arial" w:cs="Arial"/>
        </w:rPr>
        <w:t>r</w:t>
      </w:r>
      <w:r>
        <w:rPr>
          <w:rFonts w:ascii="Arial" w:hAnsi="Arial" w:cs="Arial"/>
        </w:rPr>
        <w:t>worfen.</w:t>
      </w:r>
    </w:p>
    <w:p w:rsidR="00453FAA" w:rsidRDefault="00453FAA" w:rsidP="00A704A0">
      <w:pPr>
        <w:autoSpaceDE w:val="0"/>
        <w:autoSpaceDN w:val="0"/>
        <w:adjustRightInd w:val="0"/>
        <w:spacing w:after="100" w:afterAutospacing="1" w:line="360" w:lineRule="auto"/>
        <w:jc w:val="both"/>
        <w:rPr>
          <w:rFonts w:ascii="Arial" w:hAnsi="Arial" w:cs="Arial"/>
        </w:rPr>
      </w:pPr>
      <w:r>
        <w:rPr>
          <w:rFonts w:ascii="Arial" w:hAnsi="Arial" w:cs="Arial"/>
        </w:rPr>
        <w:t>Im Februar 2008 w</w:t>
      </w:r>
      <w:r w:rsidR="006A0144">
        <w:rPr>
          <w:rFonts w:ascii="Arial" w:hAnsi="Arial" w:cs="Arial"/>
        </w:rPr>
        <w:t>urde</w:t>
      </w:r>
      <w:r>
        <w:rPr>
          <w:rFonts w:ascii="Arial" w:hAnsi="Arial" w:cs="Arial"/>
        </w:rPr>
        <w:t xml:space="preserve"> der Entwurf der revidierten Fassung der DIN EN 12195-1 vorgelegt und  als </w:t>
      </w:r>
      <w:proofErr w:type="spellStart"/>
      <w:r>
        <w:rPr>
          <w:rFonts w:ascii="Arial" w:hAnsi="Arial" w:cs="Arial"/>
        </w:rPr>
        <w:t>preEN</w:t>
      </w:r>
      <w:proofErr w:type="spellEnd"/>
      <w:r>
        <w:rPr>
          <w:rFonts w:ascii="Arial" w:hAnsi="Arial" w:cs="Arial"/>
        </w:rPr>
        <w:t xml:space="preserve"> 12195-1:2008 in Deutschland veröffentlicht.</w:t>
      </w:r>
    </w:p>
    <w:p w:rsidR="00453FAA" w:rsidRDefault="00453FAA" w:rsidP="00A704A0">
      <w:pPr>
        <w:autoSpaceDE w:val="0"/>
        <w:autoSpaceDN w:val="0"/>
        <w:adjustRightInd w:val="0"/>
        <w:spacing w:after="100" w:afterAutospacing="1" w:line="360" w:lineRule="auto"/>
        <w:jc w:val="both"/>
        <w:rPr>
          <w:rFonts w:ascii="Arial" w:hAnsi="Arial" w:cs="Arial"/>
        </w:rPr>
      </w:pPr>
      <w:r>
        <w:rPr>
          <w:rFonts w:ascii="Arial" w:hAnsi="Arial" w:cs="Arial"/>
        </w:rPr>
        <w:t>Allein aus Deutschland w</w:t>
      </w:r>
      <w:r w:rsidR="006A0144">
        <w:rPr>
          <w:rFonts w:ascii="Arial" w:hAnsi="Arial" w:cs="Arial"/>
        </w:rPr>
        <w:t>u</w:t>
      </w:r>
      <w:r>
        <w:rPr>
          <w:rFonts w:ascii="Arial" w:hAnsi="Arial" w:cs="Arial"/>
        </w:rPr>
        <w:t>rden bis April 2008 insgesamt 27 Einsprüche</w:t>
      </w:r>
      <w:r w:rsidR="006A0144">
        <w:rPr>
          <w:rFonts w:ascii="Arial" w:hAnsi="Arial" w:cs="Arial"/>
        </w:rPr>
        <w:t xml:space="preserve"> </w:t>
      </w:r>
      <w:r>
        <w:rPr>
          <w:rFonts w:ascii="Arial" w:hAnsi="Arial" w:cs="Arial"/>
        </w:rPr>
        <w:t xml:space="preserve">geltend gemacht. Der Schlussentwurf der Norm </w:t>
      </w:r>
      <w:r w:rsidR="006A0144">
        <w:rPr>
          <w:rFonts w:ascii="Arial" w:hAnsi="Arial" w:cs="Arial"/>
        </w:rPr>
        <w:t>lag</w:t>
      </w:r>
      <w:r>
        <w:rPr>
          <w:rFonts w:ascii="Arial" w:hAnsi="Arial" w:cs="Arial"/>
        </w:rPr>
        <w:t xml:space="preserve"> dann im Februar 2010 vor.</w:t>
      </w:r>
    </w:p>
    <w:p w:rsidR="00103C5B" w:rsidRDefault="00453FAA" w:rsidP="00A704A0">
      <w:pPr>
        <w:autoSpaceDE w:val="0"/>
        <w:autoSpaceDN w:val="0"/>
        <w:adjustRightInd w:val="0"/>
        <w:spacing w:after="100" w:afterAutospacing="1" w:line="360" w:lineRule="auto"/>
        <w:jc w:val="both"/>
        <w:rPr>
          <w:rFonts w:ascii="Arial" w:hAnsi="Arial" w:cs="Arial"/>
        </w:rPr>
      </w:pPr>
      <w:r>
        <w:rPr>
          <w:rFonts w:ascii="Arial" w:hAnsi="Arial" w:cs="Arial"/>
        </w:rPr>
        <w:t>DIN votierte mit „nein“ und reichte eine A-Abweichung ein</w:t>
      </w:r>
      <w:r w:rsidR="00103C5B">
        <w:rPr>
          <w:rFonts w:ascii="Arial" w:hAnsi="Arial" w:cs="Arial"/>
        </w:rPr>
        <w:t xml:space="preserve">. </w:t>
      </w:r>
      <w:r w:rsidR="006A0144">
        <w:rPr>
          <w:rFonts w:ascii="Arial" w:hAnsi="Arial" w:cs="Arial"/>
        </w:rPr>
        <w:t>Eine so</w:t>
      </w:r>
      <w:r w:rsidR="00103C5B" w:rsidRPr="001F0ACE">
        <w:rPr>
          <w:rFonts w:ascii="Arial" w:hAnsi="Arial" w:cs="Arial"/>
        </w:rPr>
        <w:t>genannte</w:t>
      </w:r>
      <w:r w:rsidR="00103C5B" w:rsidRPr="00103C5B">
        <w:rPr>
          <w:rFonts w:ascii="Arial" w:hAnsi="Arial" w:cs="Arial"/>
        </w:rPr>
        <w:t xml:space="preserve"> „A-Abweichung“</w:t>
      </w:r>
      <w:r w:rsidR="00103C5B" w:rsidRPr="001F0ACE">
        <w:rPr>
          <w:rFonts w:ascii="Arial" w:hAnsi="Arial" w:cs="Arial"/>
        </w:rPr>
        <w:t xml:space="preserve"> in einer Europäischen Norm ist eine </w:t>
      </w:r>
      <w:r w:rsidR="00103C5B" w:rsidRPr="00103C5B">
        <w:rPr>
          <w:rFonts w:ascii="Arial" w:hAnsi="Arial" w:cs="Arial"/>
        </w:rPr>
        <w:t>nationale Abweichung von einer EN</w:t>
      </w:r>
      <w:r w:rsidR="00103C5B" w:rsidRPr="001F0ACE">
        <w:rPr>
          <w:rFonts w:ascii="Arial" w:hAnsi="Arial" w:cs="Arial"/>
        </w:rPr>
        <w:t xml:space="preserve">, die auf Vorschriften beruht, deren Veränderung zum Zeitpunkt der Veröffentlichung dieser Norm </w:t>
      </w:r>
      <w:r w:rsidR="006A0144">
        <w:rPr>
          <w:rFonts w:ascii="Arial" w:hAnsi="Arial" w:cs="Arial"/>
        </w:rPr>
        <w:t>außerhalb der Kompetenz des CEN</w:t>
      </w:r>
      <w:r w:rsidR="00103C5B" w:rsidRPr="00103C5B">
        <w:rPr>
          <w:rFonts w:ascii="Arial" w:hAnsi="Arial" w:cs="Arial"/>
        </w:rPr>
        <w:t>-Mitglieds liegt</w:t>
      </w:r>
      <w:r w:rsidR="00103C5B" w:rsidRPr="001F0ACE">
        <w:rPr>
          <w:rFonts w:ascii="Arial" w:hAnsi="Arial" w:cs="Arial"/>
        </w:rPr>
        <w:t xml:space="preserve">. </w:t>
      </w:r>
      <w:r w:rsidR="00103C5B">
        <w:rPr>
          <w:rFonts w:ascii="Arial" w:hAnsi="Arial" w:cs="Arial"/>
        </w:rPr>
        <w:t>Die deutsche A-Abweichung wurde vom CEN zur inte</w:t>
      </w:r>
      <w:r w:rsidR="00103C5B">
        <w:rPr>
          <w:rFonts w:ascii="Arial" w:hAnsi="Arial" w:cs="Arial"/>
        </w:rPr>
        <w:t>r</w:t>
      </w:r>
      <w:r w:rsidR="00103C5B">
        <w:rPr>
          <w:rFonts w:ascii="Arial" w:hAnsi="Arial" w:cs="Arial"/>
        </w:rPr>
        <w:t>nationalen Abstimmung verteilt. Erwartungsgemäß wurde die A-Abweichung in dieser A</w:t>
      </w:r>
      <w:r w:rsidR="00103C5B">
        <w:rPr>
          <w:rFonts w:ascii="Arial" w:hAnsi="Arial" w:cs="Arial"/>
        </w:rPr>
        <w:t>b</w:t>
      </w:r>
      <w:r w:rsidR="00103C5B">
        <w:rPr>
          <w:rFonts w:ascii="Arial" w:hAnsi="Arial" w:cs="Arial"/>
        </w:rPr>
        <w:t>stimmung abgelehnt.</w:t>
      </w:r>
    </w:p>
    <w:p w:rsidR="00A44C33" w:rsidRDefault="00A44C33" w:rsidP="00A704A0">
      <w:pPr>
        <w:autoSpaceDE w:val="0"/>
        <w:autoSpaceDN w:val="0"/>
        <w:adjustRightInd w:val="0"/>
        <w:spacing w:after="100" w:afterAutospacing="1" w:line="360" w:lineRule="auto"/>
        <w:jc w:val="both"/>
        <w:rPr>
          <w:rFonts w:ascii="Arial" w:hAnsi="Arial" w:cs="Arial"/>
        </w:rPr>
      </w:pPr>
      <w:r w:rsidRPr="00A44C33">
        <w:rPr>
          <w:rFonts w:ascii="Arial" w:hAnsi="Arial" w:cs="Arial"/>
        </w:rPr>
        <w:t>Nach der Ratifizierung muss eine Europäische Norm von den nationalen Normungsorganis</w:t>
      </w:r>
      <w:r w:rsidRPr="00A44C33">
        <w:rPr>
          <w:rFonts w:ascii="Arial" w:hAnsi="Arial" w:cs="Arial"/>
        </w:rPr>
        <w:t>a</w:t>
      </w:r>
      <w:r w:rsidRPr="00A44C33">
        <w:rPr>
          <w:rFonts w:ascii="Arial" w:hAnsi="Arial" w:cs="Arial"/>
        </w:rPr>
        <w:t>tionen unverändert als nationale Norm übernommen werden. Entgegenstehende nationale Normen sind zurückzuziehen, um Doppelnormung zu vermeiden.</w:t>
      </w:r>
      <w:r>
        <w:rPr>
          <w:rFonts w:ascii="Arial" w:hAnsi="Arial" w:cs="Arial"/>
        </w:rPr>
        <w:t xml:space="preserve"> </w:t>
      </w:r>
      <w:r w:rsidRPr="00A44C33">
        <w:rPr>
          <w:rFonts w:ascii="Arial" w:hAnsi="Arial" w:cs="Arial"/>
        </w:rPr>
        <w:t>Jede angenommene Eur</w:t>
      </w:r>
      <w:r w:rsidRPr="00A44C33">
        <w:rPr>
          <w:rFonts w:ascii="Arial" w:hAnsi="Arial" w:cs="Arial"/>
        </w:rPr>
        <w:t>o</w:t>
      </w:r>
      <w:r w:rsidRPr="00A44C33">
        <w:rPr>
          <w:rFonts w:ascii="Arial" w:hAnsi="Arial" w:cs="Arial"/>
        </w:rPr>
        <w:t xml:space="preserve">päische Norm wird in Deutschland mit einem nationalen Vorwort als </w:t>
      </w:r>
      <w:hyperlink r:id="rId6" w:tooltip="DIN-Norm" w:history="1">
        <w:r w:rsidRPr="00A44C33">
          <w:rPr>
            <w:rFonts w:ascii="Arial" w:hAnsi="Arial" w:cs="Arial"/>
          </w:rPr>
          <w:t>DIN-EN-Norm</w:t>
        </w:r>
      </w:hyperlink>
      <w:r w:rsidRPr="00A44C33">
        <w:rPr>
          <w:rFonts w:ascii="Arial" w:hAnsi="Arial" w:cs="Arial"/>
        </w:rPr>
        <w:t xml:space="preserve"> veröffen</w:t>
      </w:r>
      <w:r w:rsidRPr="00A44C33">
        <w:rPr>
          <w:rFonts w:ascii="Arial" w:hAnsi="Arial" w:cs="Arial"/>
        </w:rPr>
        <w:t>t</w:t>
      </w:r>
      <w:r w:rsidRPr="00A44C33">
        <w:rPr>
          <w:rFonts w:ascii="Arial" w:hAnsi="Arial" w:cs="Arial"/>
        </w:rPr>
        <w:t>licht. Das nationale Vorwort dient dem Normanwender als zusätzliche Informationsquelle zur jeweiligen Norm.</w:t>
      </w:r>
    </w:p>
    <w:p w:rsidR="00A44C33" w:rsidRDefault="00A44C33" w:rsidP="00A704A0">
      <w:pPr>
        <w:autoSpaceDE w:val="0"/>
        <w:autoSpaceDN w:val="0"/>
        <w:adjustRightInd w:val="0"/>
        <w:spacing w:after="100" w:afterAutospacing="1" w:line="360" w:lineRule="auto"/>
        <w:jc w:val="center"/>
        <w:rPr>
          <w:rFonts w:ascii="Arial" w:hAnsi="Arial" w:cs="Arial"/>
        </w:rPr>
      </w:pPr>
      <w:r>
        <w:rPr>
          <w:rFonts w:ascii="Arial" w:hAnsi="Arial" w:cs="Arial"/>
        </w:rPr>
        <w:t>Aus DIN EN 12195-1:</w:t>
      </w:r>
      <w:r w:rsidR="008F709C">
        <w:rPr>
          <w:rFonts w:ascii="Arial" w:hAnsi="Arial" w:cs="Arial"/>
        </w:rPr>
        <w:t>2003</w:t>
      </w:r>
      <w:r>
        <w:rPr>
          <w:rFonts w:ascii="Arial" w:hAnsi="Arial" w:cs="Arial"/>
        </w:rPr>
        <w:t xml:space="preserve"> w</w:t>
      </w:r>
      <w:r w:rsidR="004F71E1">
        <w:rPr>
          <w:rFonts w:ascii="Arial" w:hAnsi="Arial" w:cs="Arial"/>
        </w:rPr>
        <w:t>urde</w:t>
      </w:r>
      <w:r>
        <w:rPr>
          <w:rFonts w:ascii="Arial" w:hAnsi="Arial" w:cs="Arial"/>
        </w:rPr>
        <w:t xml:space="preserve"> DIN EN 12195-1:2010</w:t>
      </w:r>
    </w:p>
    <w:p w:rsidR="00A44C33" w:rsidRDefault="00A44C33" w:rsidP="00A704A0">
      <w:pPr>
        <w:autoSpaceDE w:val="0"/>
        <w:autoSpaceDN w:val="0"/>
        <w:adjustRightInd w:val="0"/>
        <w:spacing w:after="100" w:afterAutospacing="1" w:line="360" w:lineRule="auto"/>
        <w:jc w:val="both"/>
        <w:rPr>
          <w:rFonts w:ascii="Arial" w:hAnsi="Arial" w:cs="Arial"/>
        </w:rPr>
      </w:pPr>
      <w:r>
        <w:rPr>
          <w:rFonts w:ascii="Arial" w:hAnsi="Arial" w:cs="Arial"/>
        </w:rPr>
        <w:t xml:space="preserve">Aber die DIN EN 12195-1 ist keine harmonisierte Norm. </w:t>
      </w:r>
      <w:r w:rsidRPr="00A44C33">
        <w:rPr>
          <w:rFonts w:ascii="Arial" w:hAnsi="Arial" w:cs="Arial"/>
        </w:rPr>
        <w:t xml:space="preserve">Harmonisierte Normen sind </w:t>
      </w:r>
      <w:hyperlink r:id="rId7" w:tooltip="Europäische Norm" w:history="1">
        <w:r w:rsidRPr="00A44C33">
          <w:rPr>
            <w:rFonts w:ascii="Arial" w:hAnsi="Arial" w:cs="Arial"/>
          </w:rPr>
          <w:t>europä</w:t>
        </w:r>
        <w:r w:rsidRPr="00A44C33">
          <w:rPr>
            <w:rFonts w:ascii="Arial" w:hAnsi="Arial" w:cs="Arial"/>
          </w:rPr>
          <w:t>i</w:t>
        </w:r>
        <w:r w:rsidRPr="00A44C33">
          <w:rPr>
            <w:rFonts w:ascii="Arial" w:hAnsi="Arial" w:cs="Arial"/>
          </w:rPr>
          <w:t>sche Normen</w:t>
        </w:r>
      </w:hyperlink>
      <w:r w:rsidRPr="00A44C33">
        <w:rPr>
          <w:rFonts w:ascii="Arial" w:hAnsi="Arial" w:cs="Arial"/>
        </w:rPr>
        <w:t xml:space="preserve"> für Produkte. Sie werden durch die Organisationen</w:t>
      </w:r>
      <w:r>
        <w:rPr>
          <w:rFonts w:ascii="Arial" w:hAnsi="Arial" w:cs="Arial"/>
        </w:rPr>
        <w:t>, z.B.:</w:t>
      </w:r>
      <w:r w:rsidRPr="00A44C33">
        <w:rPr>
          <w:rFonts w:ascii="Arial" w:hAnsi="Arial" w:cs="Arial"/>
        </w:rPr>
        <w:t xml:space="preserve"> </w:t>
      </w:r>
      <w:hyperlink r:id="rId8" w:tooltip="Europäisches Komitee für Normung" w:history="1">
        <w:r w:rsidRPr="00A44C33">
          <w:rPr>
            <w:rFonts w:ascii="Arial" w:hAnsi="Arial" w:cs="Arial"/>
          </w:rPr>
          <w:t>CEN</w:t>
        </w:r>
      </w:hyperlink>
      <w:r w:rsidRPr="00A44C33">
        <w:rPr>
          <w:rFonts w:ascii="Arial" w:hAnsi="Arial" w:cs="Arial"/>
        </w:rPr>
        <w:t xml:space="preserve"> im Auftrag der </w:t>
      </w:r>
      <w:hyperlink r:id="rId9" w:tooltip="Europäische Kommission" w:history="1">
        <w:r w:rsidRPr="00A44C33">
          <w:rPr>
            <w:rFonts w:ascii="Arial" w:hAnsi="Arial" w:cs="Arial"/>
          </w:rPr>
          <w:t>Europäischen Kommission</w:t>
        </w:r>
      </w:hyperlink>
      <w:r w:rsidRPr="00A44C33">
        <w:rPr>
          <w:rFonts w:ascii="Arial" w:hAnsi="Arial" w:cs="Arial"/>
        </w:rPr>
        <w:t xml:space="preserve"> erarbeitet, das heißt es liegt ein Normungsauftrag (Mandat) an die europäischen Normungsorganisationen </w:t>
      </w:r>
      <w:r>
        <w:rPr>
          <w:rFonts w:ascii="Arial" w:hAnsi="Arial" w:cs="Arial"/>
        </w:rPr>
        <w:t xml:space="preserve">zu Konkretisierung einer Binnenmarktrichtlinie vor. </w:t>
      </w:r>
      <w:r w:rsidRPr="00A44C33">
        <w:rPr>
          <w:rFonts w:ascii="Arial" w:hAnsi="Arial" w:cs="Arial"/>
        </w:rPr>
        <w:t>Alle europäischen harmonisierten Normen müssen als nationale Normen umgesetzt werden; dazu im Widerspruch stehende nationale Normen müssen innerhalb eines bestim</w:t>
      </w:r>
      <w:r w:rsidRPr="00A44C33">
        <w:rPr>
          <w:rFonts w:ascii="Arial" w:hAnsi="Arial" w:cs="Arial"/>
        </w:rPr>
        <w:t>m</w:t>
      </w:r>
      <w:r w:rsidRPr="00A44C33">
        <w:rPr>
          <w:rFonts w:ascii="Arial" w:hAnsi="Arial" w:cs="Arial"/>
        </w:rPr>
        <w:t>ten Zeitraums zurückgezogen werden</w:t>
      </w:r>
      <w:r>
        <w:t>.</w:t>
      </w:r>
      <w:r w:rsidR="00744940">
        <w:t xml:space="preserve"> </w:t>
      </w:r>
      <w:r w:rsidR="00744940" w:rsidRPr="00744940">
        <w:rPr>
          <w:rFonts w:ascii="Arial" w:hAnsi="Arial" w:cs="Arial"/>
        </w:rPr>
        <w:t xml:space="preserve">Da die revidierte Fassung der Norm, </w:t>
      </w:r>
      <w:r w:rsidR="00744940">
        <w:rPr>
          <w:rFonts w:ascii="Arial" w:hAnsi="Arial" w:cs="Arial"/>
        </w:rPr>
        <w:t>so wie ihre Vo</w:t>
      </w:r>
      <w:r w:rsidR="00744940">
        <w:rPr>
          <w:rFonts w:ascii="Arial" w:hAnsi="Arial" w:cs="Arial"/>
        </w:rPr>
        <w:t>r</w:t>
      </w:r>
      <w:r w:rsidR="00744940">
        <w:rPr>
          <w:rFonts w:ascii="Arial" w:hAnsi="Arial" w:cs="Arial"/>
        </w:rPr>
        <w:t xml:space="preserve">gängernorm, nicht zu den harmonisierten Normen gehört ist ihre Anwendung gesetzlich nicht vorgeschrieben. </w:t>
      </w:r>
    </w:p>
    <w:p w:rsidR="00744940" w:rsidRDefault="00744940" w:rsidP="00A704A0">
      <w:pPr>
        <w:autoSpaceDE w:val="0"/>
        <w:autoSpaceDN w:val="0"/>
        <w:adjustRightInd w:val="0"/>
        <w:spacing w:after="100" w:afterAutospacing="1" w:line="360" w:lineRule="auto"/>
        <w:jc w:val="both"/>
        <w:rPr>
          <w:rFonts w:ascii="Arial" w:hAnsi="Arial" w:cs="Arial"/>
        </w:rPr>
      </w:pPr>
      <w:r>
        <w:rPr>
          <w:rFonts w:ascii="Arial" w:hAnsi="Arial" w:cs="Arial"/>
        </w:rPr>
        <w:t>Im Juni 2011 wurde die Neufassung als DIN EN 12195-1:</w:t>
      </w:r>
      <w:r w:rsidR="008F709C">
        <w:rPr>
          <w:rFonts w:ascii="Arial" w:hAnsi="Arial" w:cs="Arial"/>
        </w:rPr>
        <w:t>2010</w:t>
      </w:r>
      <w:r>
        <w:rPr>
          <w:rFonts w:ascii="Arial" w:hAnsi="Arial" w:cs="Arial"/>
        </w:rPr>
        <w:t xml:space="preserve"> in Deutschland veröffentlicht.</w:t>
      </w:r>
    </w:p>
    <w:p w:rsidR="00744940" w:rsidRPr="00A704A0" w:rsidRDefault="00744940" w:rsidP="00A704A0">
      <w:pPr>
        <w:autoSpaceDE w:val="0"/>
        <w:autoSpaceDN w:val="0"/>
        <w:adjustRightInd w:val="0"/>
        <w:spacing w:after="100" w:afterAutospacing="1" w:line="360" w:lineRule="auto"/>
        <w:jc w:val="both"/>
        <w:rPr>
          <w:rFonts w:ascii="Arial" w:hAnsi="Arial" w:cs="Arial"/>
          <w:b/>
        </w:rPr>
      </w:pPr>
      <w:r w:rsidRPr="00A704A0">
        <w:rPr>
          <w:rFonts w:ascii="Arial" w:hAnsi="Arial" w:cs="Arial"/>
          <w:b/>
        </w:rPr>
        <w:lastRenderedPageBreak/>
        <w:t>Wie geht es weiter?</w:t>
      </w:r>
    </w:p>
    <w:p w:rsidR="004F71E1" w:rsidRDefault="004F71E1" w:rsidP="00A704A0">
      <w:pPr>
        <w:autoSpaceDE w:val="0"/>
        <w:autoSpaceDN w:val="0"/>
        <w:adjustRightInd w:val="0"/>
        <w:spacing w:after="0" w:line="360" w:lineRule="auto"/>
        <w:jc w:val="both"/>
        <w:rPr>
          <w:rFonts w:ascii="Arial" w:hAnsi="Arial" w:cs="Arial"/>
        </w:rPr>
      </w:pPr>
      <w:r>
        <w:rPr>
          <w:rFonts w:ascii="Arial" w:hAnsi="Arial" w:cs="Arial"/>
        </w:rPr>
        <w:t>Die Vorbehalte Deutschlands sind in dem nationalen Vorwort, das als Kommentierung für den Anwender dienen soll zusammengefasst.</w:t>
      </w:r>
    </w:p>
    <w:p w:rsidR="004F71E1" w:rsidRDefault="004F71E1" w:rsidP="00A704A0">
      <w:pPr>
        <w:autoSpaceDE w:val="0"/>
        <w:autoSpaceDN w:val="0"/>
        <w:adjustRightInd w:val="0"/>
        <w:spacing w:after="0" w:line="360" w:lineRule="auto"/>
        <w:jc w:val="both"/>
        <w:rPr>
          <w:rFonts w:ascii="Arial" w:hAnsi="Arial" w:cs="Arial"/>
        </w:rPr>
      </w:pPr>
      <w:r>
        <w:rPr>
          <w:rFonts w:ascii="Arial" w:hAnsi="Arial" w:cs="Arial"/>
        </w:rPr>
        <w:t>So heißt dort:</w:t>
      </w:r>
    </w:p>
    <w:p w:rsidR="004F71E1" w:rsidRPr="0088016F" w:rsidRDefault="004F71E1" w:rsidP="00A704A0">
      <w:pPr>
        <w:autoSpaceDE w:val="0"/>
        <w:autoSpaceDN w:val="0"/>
        <w:adjustRightInd w:val="0"/>
        <w:spacing w:after="0" w:line="360" w:lineRule="auto"/>
        <w:jc w:val="both"/>
        <w:rPr>
          <w:rFonts w:ascii="Times New Roman" w:hAnsi="Times New Roman" w:cs="Times New Roman"/>
          <w:b/>
          <w:i/>
        </w:rPr>
      </w:pPr>
      <w:r w:rsidRPr="0088016F">
        <w:rPr>
          <w:rFonts w:ascii="Times New Roman" w:hAnsi="Times New Roman" w:cs="Times New Roman"/>
          <w:b/>
          <w:i/>
        </w:rPr>
        <w:t>Zur Wahrung des in Deutschland allgemein anerkannten Sicherheitsniveaus zur Ladungssich</w:t>
      </w:r>
      <w:r w:rsidRPr="0088016F">
        <w:rPr>
          <w:rFonts w:ascii="Times New Roman" w:hAnsi="Times New Roman" w:cs="Times New Roman"/>
          <w:b/>
          <w:i/>
        </w:rPr>
        <w:t>e</w:t>
      </w:r>
      <w:r w:rsidRPr="0088016F">
        <w:rPr>
          <w:rFonts w:ascii="Times New Roman" w:hAnsi="Times New Roman" w:cs="Times New Roman"/>
          <w:b/>
          <w:i/>
        </w:rPr>
        <w:t>rung werden im Folgenden einige weitere Hinweise und Erläuterungen zur Anwendung der DIN EN 12195-1:2011-06 gegeben:</w:t>
      </w:r>
    </w:p>
    <w:p w:rsidR="004F71E1" w:rsidRPr="0088016F" w:rsidRDefault="004F71E1" w:rsidP="00A704A0">
      <w:pPr>
        <w:autoSpaceDE w:val="0"/>
        <w:autoSpaceDN w:val="0"/>
        <w:adjustRightInd w:val="0"/>
        <w:spacing w:after="0" w:line="360" w:lineRule="auto"/>
        <w:jc w:val="both"/>
        <w:rPr>
          <w:rFonts w:ascii="Times New Roman" w:hAnsi="Times New Roman" w:cs="Times New Roman"/>
          <w:b/>
          <w:i/>
        </w:rPr>
      </w:pPr>
      <w:r w:rsidRPr="0088016F">
        <w:rPr>
          <w:rFonts w:ascii="Times New Roman" w:hAnsi="Times New Roman" w:cs="Times New Roman"/>
          <w:b/>
          <w:i/>
        </w:rPr>
        <w:t xml:space="preserve"> </w:t>
      </w:r>
    </w:p>
    <w:p w:rsidR="004F71E1" w:rsidRPr="0088016F" w:rsidRDefault="004F71E1" w:rsidP="00A704A0">
      <w:pPr>
        <w:autoSpaceDE w:val="0"/>
        <w:autoSpaceDN w:val="0"/>
        <w:adjustRightInd w:val="0"/>
        <w:spacing w:after="0" w:line="360" w:lineRule="auto"/>
        <w:ind w:left="252" w:hanging="252"/>
        <w:rPr>
          <w:rFonts w:ascii="Times New Roman" w:hAnsi="Times New Roman" w:cs="Times New Roman"/>
          <w:b/>
          <w:i/>
        </w:rPr>
      </w:pPr>
      <w:r w:rsidRPr="0088016F">
        <w:rPr>
          <w:rFonts w:ascii="Times New Roman" w:hAnsi="Times New Roman" w:cs="Times New Roman"/>
          <w:b/>
          <w:i/>
        </w:rPr>
        <w:t xml:space="preserve">1) Ein höherwertiges als das in DIN EN 12195-1:2011-06 beschriebene Sicherheitsniveau kann jederzeit angewendet werden; </w:t>
      </w:r>
    </w:p>
    <w:p w:rsidR="004F71E1" w:rsidRPr="0088016F" w:rsidRDefault="004F71E1" w:rsidP="00A704A0">
      <w:pPr>
        <w:autoSpaceDE w:val="0"/>
        <w:autoSpaceDN w:val="0"/>
        <w:adjustRightInd w:val="0"/>
        <w:spacing w:after="0" w:line="360" w:lineRule="auto"/>
        <w:ind w:left="252" w:hanging="252"/>
        <w:rPr>
          <w:rFonts w:ascii="Times New Roman" w:hAnsi="Times New Roman" w:cs="Times New Roman"/>
          <w:b/>
          <w:i/>
        </w:rPr>
      </w:pPr>
      <w:r w:rsidRPr="0088016F">
        <w:rPr>
          <w:rFonts w:ascii="Times New Roman" w:hAnsi="Times New Roman" w:cs="Times New Roman"/>
          <w:b/>
          <w:i/>
        </w:rPr>
        <w:t xml:space="preserve">2) Die nationalen Vorschriften, Regelwerke und Verordnungen sind zu beachten, welche durchaus ein höheres Sicherheitsniveau voraussetzen können. </w:t>
      </w:r>
    </w:p>
    <w:p w:rsidR="004F71E1" w:rsidRDefault="004F71E1" w:rsidP="00A704A0">
      <w:pPr>
        <w:autoSpaceDE w:val="0"/>
        <w:autoSpaceDN w:val="0"/>
        <w:adjustRightInd w:val="0"/>
        <w:spacing w:after="0" w:line="360" w:lineRule="auto"/>
        <w:jc w:val="both"/>
        <w:rPr>
          <w:rFonts w:ascii="Arial" w:hAnsi="Arial" w:cs="Arial"/>
        </w:rPr>
      </w:pPr>
    </w:p>
    <w:p w:rsidR="004F71E1" w:rsidRDefault="0088016F" w:rsidP="00A704A0">
      <w:pPr>
        <w:autoSpaceDE w:val="0"/>
        <w:autoSpaceDN w:val="0"/>
        <w:adjustRightInd w:val="0"/>
        <w:spacing w:after="0" w:line="360" w:lineRule="auto"/>
        <w:jc w:val="both"/>
        <w:rPr>
          <w:rFonts w:ascii="Arial" w:hAnsi="Arial" w:cs="Arial"/>
        </w:rPr>
      </w:pPr>
      <w:r>
        <w:rPr>
          <w:rFonts w:ascii="Arial" w:hAnsi="Arial" w:cs="Arial"/>
        </w:rPr>
        <w:t>Es wird also auf nationale Regelwerke verwiesen, die ein höheres Sicherheitsniveau vorau</w:t>
      </w:r>
      <w:r>
        <w:rPr>
          <w:rFonts w:ascii="Arial" w:hAnsi="Arial" w:cs="Arial"/>
        </w:rPr>
        <w:t>s</w:t>
      </w:r>
      <w:r>
        <w:rPr>
          <w:rFonts w:ascii="Arial" w:hAnsi="Arial" w:cs="Arial"/>
        </w:rPr>
        <w:t>setzten und unter anderem durch Kontrollorgane oder auch in Gerichtsverfahren jederzeit angewendet werden können und über den Regeln der DIN EN stehen.</w:t>
      </w:r>
    </w:p>
    <w:p w:rsidR="0088016F" w:rsidRDefault="0088016F" w:rsidP="00A704A0">
      <w:pPr>
        <w:autoSpaceDE w:val="0"/>
        <w:autoSpaceDN w:val="0"/>
        <w:adjustRightInd w:val="0"/>
        <w:spacing w:after="0" w:line="360" w:lineRule="auto"/>
        <w:jc w:val="both"/>
        <w:rPr>
          <w:rFonts w:ascii="Arial" w:hAnsi="Arial" w:cs="Arial"/>
        </w:rPr>
      </w:pPr>
      <w:r>
        <w:rPr>
          <w:rFonts w:ascii="Arial" w:hAnsi="Arial" w:cs="Arial"/>
        </w:rPr>
        <w:t>Doch welche Regelwerke, Vorschriften oder Verordnungen sind damit gemeint?</w:t>
      </w:r>
    </w:p>
    <w:p w:rsidR="0088016F" w:rsidRDefault="0088016F" w:rsidP="00A704A0">
      <w:pPr>
        <w:autoSpaceDE w:val="0"/>
        <w:autoSpaceDN w:val="0"/>
        <w:adjustRightInd w:val="0"/>
        <w:spacing w:after="0" w:line="360" w:lineRule="auto"/>
        <w:jc w:val="both"/>
        <w:rPr>
          <w:rFonts w:ascii="Arial" w:hAnsi="Arial" w:cs="Arial"/>
        </w:rPr>
      </w:pPr>
      <w:r>
        <w:rPr>
          <w:rFonts w:ascii="Arial" w:hAnsi="Arial" w:cs="Arial"/>
        </w:rPr>
        <w:t>Da wäre zunächst einmal die Vorgängernorm, DIN EN 12195-1:</w:t>
      </w:r>
      <w:r w:rsidR="008F709C">
        <w:rPr>
          <w:rFonts w:ascii="Arial" w:hAnsi="Arial" w:cs="Arial"/>
        </w:rPr>
        <w:t>2003</w:t>
      </w:r>
      <w:r>
        <w:rPr>
          <w:rFonts w:ascii="Arial" w:hAnsi="Arial" w:cs="Arial"/>
        </w:rPr>
        <w:t>, zu nennen, die sich ja in Deutschland als anerkannte Regel der Technik seit vielen Jahren bewährt hat. Sowohl das Bundesamt für Güterverkehr (BAG), wie auch die zuständigen Stellen bei den Polizeibehö</w:t>
      </w:r>
      <w:r>
        <w:rPr>
          <w:rFonts w:ascii="Arial" w:hAnsi="Arial" w:cs="Arial"/>
        </w:rPr>
        <w:t>r</w:t>
      </w:r>
      <w:r>
        <w:rPr>
          <w:rFonts w:ascii="Arial" w:hAnsi="Arial" w:cs="Arial"/>
        </w:rPr>
        <w:t xml:space="preserve">den (Bund-Länder-Fachausschuss) haben die Anweisung erteilt auch weiterhin nach der alten Norm zu kontrollieren. Daraus </w:t>
      </w:r>
      <w:proofErr w:type="gramStart"/>
      <w:r>
        <w:rPr>
          <w:rFonts w:ascii="Arial" w:hAnsi="Arial" w:cs="Arial"/>
        </w:rPr>
        <w:t>ergeben</w:t>
      </w:r>
      <w:proofErr w:type="gramEnd"/>
      <w:r>
        <w:rPr>
          <w:rFonts w:ascii="Arial" w:hAnsi="Arial" w:cs="Arial"/>
        </w:rPr>
        <w:t xml:space="preserve"> sich allerdings eine ganze Reihe von Probl</w:t>
      </w:r>
      <w:r>
        <w:rPr>
          <w:rFonts w:ascii="Arial" w:hAnsi="Arial" w:cs="Arial"/>
        </w:rPr>
        <w:t>e</w:t>
      </w:r>
      <w:r>
        <w:rPr>
          <w:rFonts w:ascii="Arial" w:hAnsi="Arial" w:cs="Arial"/>
        </w:rPr>
        <w:t>men in der praktischen Umsetzung.</w:t>
      </w:r>
    </w:p>
    <w:p w:rsidR="006A0144" w:rsidRDefault="006A0144" w:rsidP="00A704A0">
      <w:pPr>
        <w:autoSpaceDE w:val="0"/>
        <w:autoSpaceDN w:val="0"/>
        <w:adjustRightInd w:val="0"/>
        <w:spacing w:after="0" w:line="360" w:lineRule="auto"/>
        <w:ind w:left="910" w:hanging="910"/>
        <w:jc w:val="both"/>
        <w:rPr>
          <w:rFonts w:ascii="Arial" w:hAnsi="Arial" w:cs="Arial"/>
        </w:rPr>
      </w:pPr>
    </w:p>
    <w:p w:rsidR="00685CA1" w:rsidRDefault="0088016F" w:rsidP="00A704A0">
      <w:pPr>
        <w:autoSpaceDE w:val="0"/>
        <w:autoSpaceDN w:val="0"/>
        <w:adjustRightInd w:val="0"/>
        <w:spacing w:after="0" w:line="360" w:lineRule="auto"/>
        <w:ind w:left="910" w:hanging="910"/>
        <w:jc w:val="both"/>
      </w:pPr>
      <w:r>
        <w:rPr>
          <w:rFonts w:ascii="Arial" w:hAnsi="Arial" w:cs="Arial"/>
        </w:rPr>
        <w:t>Punkt 1: Die alte Norm ist mit in Kraft treten der Revision im Juni 2011 definitiv zurückgez</w:t>
      </w:r>
      <w:r>
        <w:rPr>
          <w:rFonts w:ascii="Arial" w:hAnsi="Arial" w:cs="Arial"/>
        </w:rPr>
        <w:t>o</w:t>
      </w:r>
      <w:r>
        <w:rPr>
          <w:rFonts w:ascii="Arial" w:hAnsi="Arial" w:cs="Arial"/>
        </w:rPr>
        <w:t>gen worden. Das bedeutet zwar nicht das alle Aussagen, die während der Gülti</w:t>
      </w:r>
      <w:r>
        <w:rPr>
          <w:rFonts w:ascii="Arial" w:hAnsi="Arial" w:cs="Arial"/>
        </w:rPr>
        <w:t>g</w:t>
      </w:r>
      <w:r>
        <w:rPr>
          <w:rFonts w:ascii="Arial" w:hAnsi="Arial" w:cs="Arial"/>
        </w:rPr>
        <w:t>keit der Norm getroffen wurden (z.B.: Verladeanweisungen) direkt überarbeitet werden müssen</w:t>
      </w:r>
      <w:r w:rsidR="003478ED">
        <w:rPr>
          <w:rFonts w:ascii="Arial" w:hAnsi="Arial" w:cs="Arial"/>
        </w:rPr>
        <w:t>,</w:t>
      </w:r>
      <w:r>
        <w:rPr>
          <w:rFonts w:ascii="Arial" w:hAnsi="Arial" w:cs="Arial"/>
        </w:rPr>
        <w:t xml:space="preserve"> aber die </w:t>
      </w:r>
      <w:r w:rsidR="00685CA1">
        <w:rPr>
          <w:rFonts w:ascii="Arial" w:hAnsi="Arial" w:cs="Arial"/>
        </w:rPr>
        <w:t>Anwendung einer technischen Regel, die nicht mehr in Kraft ist, in einem aktuellen Fall halte ich für nicht zweckmäßig. Zumal Deutschland einen hohen Anteil an internationalem Verkehr aufweist. Und bei Fahrzeugen, die Deutschland im Transit passieren oder aus dem europäischen oder auch nicht e</w:t>
      </w:r>
      <w:r w:rsidR="00685CA1">
        <w:rPr>
          <w:rFonts w:ascii="Arial" w:hAnsi="Arial" w:cs="Arial"/>
        </w:rPr>
        <w:t>u</w:t>
      </w:r>
      <w:r w:rsidR="00685CA1">
        <w:rPr>
          <w:rFonts w:ascii="Arial" w:hAnsi="Arial" w:cs="Arial"/>
        </w:rPr>
        <w:t>ropäischen Ausland nach Deutschland einreisen, wird man zu Recht auf ein in der europäischen Union einheitliches gültiges Regelwerk verweisen. Werden also we</w:t>
      </w:r>
      <w:r w:rsidR="00685CA1">
        <w:rPr>
          <w:rFonts w:ascii="Arial" w:hAnsi="Arial" w:cs="Arial"/>
        </w:rPr>
        <w:t>i</w:t>
      </w:r>
      <w:r w:rsidR="00685CA1">
        <w:rPr>
          <w:rFonts w:ascii="Arial" w:hAnsi="Arial" w:cs="Arial"/>
        </w:rPr>
        <w:t>terhin Kontrollen nach alter Norm durchgeführt, wird die eine oder die andere b</w:t>
      </w:r>
      <w:r w:rsidR="00685CA1">
        <w:rPr>
          <w:rFonts w:ascii="Arial" w:hAnsi="Arial" w:cs="Arial"/>
        </w:rPr>
        <w:t>e</w:t>
      </w:r>
      <w:r w:rsidR="00685CA1">
        <w:rPr>
          <w:rFonts w:ascii="Arial" w:hAnsi="Arial" w:cs="Arial"/>
        </w:rPr>
        <w:t xml:space="preserve">troffene Partei eine richterliche Entscheidung anstreben. </w:t>
      </w:r>
    </w:p>
    <w:p w:rsidR="006A0144" w:rsidRDefault="006A0144" w:rsidP="00A704A0">
      <w:pPr>
        <w:pStyle w:val="Default"/>
        <w:tabs>
          <w:tab w:val="left" w:pos="952"/>
        </w:tabs>
        <w:spacing w:line="360" w:lineRule="auto"/>
        <w:ind w:left="907" w:hanging="907"/>
        <w:contextualSpacing/>
        <w:jc w:val="both"/>
        <w:rPr>
          <w:sz w:val="22"/>
          <w:szCs w:val="22"/>
        </w:rPr>
      </w:pPr>
    </w:p>
    <w:p w:rsidR="008F709C" w:rsidRDefault="008F709C" w:rsidP="00A704A0">
      <w:pPr>
        <w:pStyle w:val="Default"/>
        <w:tabs>
          <w:tab w:val="left" w:pos="952"/>
        </w:tabs>
        <w:spacing w:line="360" w:lineRule="auto"/>
        <w:ind w:left="907" w:hanging="907"/>
        <w:contextualSpacing/>
        <w:jc w:val="both"/>
        <w:rPr>
          <w:sz w:val="22"/>
          <w:szCs w:val="22"/>
        </w:rPr>
      </w:pPr>
      <w:r w:rsidRPr="008F709C">
        <w:rPr>
          <w:sz w:val="22"/>
          <w:szCs w:val="22"/>
        </w:rPr>
        <w:lastRenderedPageBreak/>
        <w:t>Punkt 2:</w:t>
      </w:r>
      <w:r>
        <w:rPr>
          <w:sz w:val="22"/>
          <w:szCs w:val="22"/>
        </w:rPr>
        <w:t xml:space="preserve"> </w:t>
      </w:r>
      <w:r w:rsidRPr="008F709C">
        <w:rPr>
          <w:sz w:val="22"/>
          <w:szCs w:val="22"/>
        </w:rPr>
        <w:t>Außerdem wird mit der nächsten Änderung der internationalen Gefahrgutvorschri</w:t>
      </w:r>
      <w:r w:rsidRPr="008F709C">
        <w:rPr>
          <w:sz w:val="22"/>
          <w:szCs w:val="22"/>
        </w:rPr>
        <w:t>f</w:t>
      </w:r>
      <w:r w:rsidRPr="008F709C">
        <w:rPr>
          <w:sz w:val="22"/>
          <w:szCs w:val="22"/>
        </w:rPr>
        <w:t xml:space="preserve">ten (ADR) </w:t>
      </w:r>
      <w:r>
        <w:rPr>
          <w:sz w:val="22"/>
          <w:szCs w:val="22"/>
        </w:rPr>
        <w:t xml:space="preserve">zum Januar 2013 </w:t>
      </w:r>
      <w:r w:rsidRPr="008F709C">
        <w:rPr>
          <w:sz w:val="22"/>
          <w:szCs w:val="22"/>
        </w:rPr>
        <w:t>explizit auf</w:t>
      </w:r>
      <w:r>
        <w:rPr>
          <w:sz w:val="22"/>
          <w:szCs w:val="22"/>
        </w:rPr>
        <w:t xml:space="preserve"> die</w:t>
      </w:r>
      <w:r w:rsidRPr="008F709C">
        <w:rPr>
          <w:sz w:val="22"/>
          <w:szCs w:val="22"/>
        </w:rPr>
        <w:t xml:space="preserve"> DIN EN 12195-1:2010 verwiesen. </w:t>
      </w:r>
      <w:r w:rsidRPr="008F709C">
        <w:rPr>
          <w:rFonts w:eastAsiaTheme="minorHAnsi"/>
          <w:color w:val="auto"/>
          <w:sz w:val="22"/>
          <w:szCs w:val="22"/>
          <w:lang w:eastAsia="en-US"/>
        </w:rPr>
        <w:t>Das ADR gilt dabei nicht nur für den internationalen Transport gefährlicher Güter</w:t>
      </w:r>
      <w:r w:rsidRPr="008F709C">
        <w:rPr>
          <w:sz w:val="22"/>
          <w:szCs w:val="22"/>
        </w:rPr>
        <w:t xml:space="preserve"> auf der Straße, sondern auch für nationale Gefahrguttransporte.</w:t>
      </w:r>
      <w:r w:rsidR="00577F4D">
        <w:rPr>
          <w:sz w:val="22"/>
          <w:szCs w:val="22"/>
        </w:rPr>
        <w:t xml:space="preserve"> </w:t>
      </w:r>
    </w:p>
    <w:p w:rsidR="006A0144" w:rsidRDefault="006A0144" w:rsidP="00A704A0">
      <w:pPr>
        <w:autoSpaceDE w:val="0"/>
        <w:autoSpaceDN w:val="0"/>
        <w:adjustRightInd w:val="0"/>
        <w:spacing w:after="0" w:line="360" w:lineRule="auto"/>
        <w:ind w:left="910" w:hanging="910"/>
        <w:jc w:val="both"/>
        <w:rPr>
          <w:rFonts w:ascii="Arial" w:eastAsia="Times New Roman" w:hAnsi="Arial" w:cs="Arial"/>
          <w:color w:val="000000"/>
          <w:lang w:eastAsia="de-DE"/>
        </w:rPr>
      </w:pPr>
    </w:p>
    <w:p w:rsidR="008F709C" w:rsidRDefault="008F709C" w:rsidP="00A704A0">
      <w:pPr>
        <w:autoSpaceDE w:val="0"/>
        <w:autoSpaceDN w:val="0"/>
        <w:adjustRightInd w:val="0"/>
        <w:spacing w:after="0" w:line="360" w:lineRule="auto"/>
        <w:ind w:left="910" w:hanging="910"/>
        <w:jc w:val="both"/>
        <w:rPr>
          <w:rFonts w:ascii="Arial" w:hAnsi="Arial" w:cs="Arial"/>
        </w:rPr>
      </w:pPr>
      <w:r w:rsidRPr="00577F4D">
        <w:rPr>
          <w:rFonts w:ascii="Arial" w:eastAsia="Times New Roman" w:hAnsi="Arial" w:cs="Arial"/>
          <w:color w:val="000000"/>
          <w:lang w:eastAsia="de-DE"/>
        </w:rPr>
        <w:t xml:space="preserve">Punkt 3: </w:t>
      </w:r>
      <w:r w:rsidR="00577F4D" w:rsidRPr="00577F4D">
        <w:rPr>
          <w:rFonts w:ascii="Arial" w:eastAsia="Times New Roman" w:hAnsi="Arial" w:cs="Arial"/>
          <w:color w:val="000000"/>
          <w:lang w:eastAsia="de-DE"/>
        </w:rPr>
        <w:t>E</w:t>
      </w:r>
      <w:r w:rsidRPr="00577F4D">
        <w:rPr>
          <w:rFonts w:ascii="Arial" w:eastAsia="Times New Roman" w:hAnsi="Arial" w:cs="Arial"/>
          <w:color w:val="000000"/>
          <w:lang w:eastAsia="de-DE"/>
        </w:rPr>
        <w:t>benfalls</w:t>
      </w:r>
      <w:r>
        <w:rPr>
          <w:rFonts w:ascii="Arial" w:hAnsi="Arial" w:cs="Arial"/>
        </w:rPr>
        <w:t xml:space="preserve"> für </w:t>
      </w:r>
      <w:r w:rsidR="00577F4D">
        <w:rPr>
          <w:rFonts w:ascii="Arial" w:hAnsi="Arial" w:cs="Arial"/>
        </w:rPr>
        <w:t xml:space="preserve">sehr </w:t>
      </w:r>
      <w:r>
        <w:rPr>
          <w:rFonts w:ascii="Arial" w:hAnsi="Arial" w:cs="Arial"/>
        </w:rPr>
        <w:t>bedenklich</w:t>
      </w:r>
      <w:r w:rsidR="00577F4D">
        <w:rPr>
          <w:rFonts w:ascii="Arial" w:hAnsi="Arial" w:cs="Arial"/>
        </w:rPr>
        <w:t xml:space="preserve"> halte ich es</w:t>
      </w:r>
      <w:r>
        <w:rPr>
          <w:rFonts w:ascii="Arial" w:hAnsi="Arial" w:cs="Arial"/>
        </w:rPr>
        <w:t>, wenn im Vorwort der neuen Norm bereits die Entscheidungen von Richtern, oder die Vorgehensweise von Schadensversic</w:t>
      </w:r>
      <w:r>
        <w:rPr>
          <w:rFonts w:ascii="Arial" w:hAnsi="Arial" w:cs="Arial"/>
        </w:rPr>
        <w:t>h</w:t>
      </w:r>
      <w:r>
        <w:rPr>
          <w:rFonts w:ascii="Arial" w:hAnsi="Arial" w:cs="Arial"/>
        </w:rPr>
        <w:t xml:space="preserve">eren wie selbstverständlich vorweg genommen werden. </w:t>
      </w:r>
    </w:p>
    <w:p w:rsidR="008F709C" w:rsidRDefault="008F709C" w:rsidP="00A704A0">
      <w:pPr>
        <w:autoSpaceDE w:val="0"/>
        <w:autoSpaceDN w:val="0"/>
        <w:adjustRightInd w:val="0"/>
        <w:spacing w:after="0" w:line="360" w:lineRule="auto"/>
        <w:ind w:left="910" w:hanging="3"/>
        <w:jc w:val="both"/>
      </w:pPr>
      <w:r>
        <w:rPr>
          <w:rFonts w:ascii="Arial" w:hAnsi="Arial" w:cs="Arial"/>
        </w:rPr>
        <w:t>Zitat:</w:t>
      </w:r>
      <w:r>
        <w:rPr>
          <w:rFonts w:ascii="Arial" w:hAnsi="Arial" w:cs="Arial"/>
        </w:rPr>
        <w:tab/>
      </w:r>
      <w:r>
        <w:br/>
      </w:r>
      <w:r w:rsidRPr="008F709C">
        <w:rPr>
          <w:rFonts w:ascii="Times New Roman" w:eastAsia="Calibri" w:hAnsi="Times New Roman" w:cs="Times New Roman"/>
          <w:b/>
          <w:i/>
        </w:rPr>
        <w:t>Im Schadensfall sind die deutschen Gerichte und Versicherer gehalten, anerkannte R</w:t>
      </w:r>
      <w:r w:rsidRPr="008F709C">
        <w:rPr>
          <w:rFonts w:ascii="Times New Roman" w:eastAsia="Calibri" w:hAnsi="Times New Roman" w:cs="Times New Roman"/>
          <w:b/>
          <w:i/>
        </w:rPr>
        <w:t>e</w:t>
      </w:r>
      <w:r w:rsidRPr="008F709C">
        <w:rPr>
          <w:rFonts w:ascii="Times New Roman" w:eastAsia="Calibri" w:hAnsi="Times New Roman" w:cs="Times New Roman"/>
          <w:b/>
          <w:i/>
        </w:rPr>
        <w:t>geln der Technik für die Ladungssicherung (zurzeit nach den Vorgaben der VDI Richtl</w:t>
      </w:r>
      <w:r w:rsidRPr="008F709C">
        <w:rPr>
          <w:rFonts w:ascii="Times New Roman" w:eastAsia="Calibri" w:hAnsi="Times New Roman" w:cs="Times New Roman"/>
          <w:b/>
          <w:i/>
        </w:rPr>
        <w:t>i</w:t>
      </w:r>
      <w:r w:rsidRPr="008F709C">
        <w:rPr>
          <w:rFonts w:ascii="Times New Roman" w:eastAsia="Calibri" w:hAnsi="Times New Roman" w:cs="Times New Roman"/>
          <w:b/>
          <w:i/>
        </w:rPr>
        <w:t>nie 2700 und EN 12195-1:2003 als Bewertungsgrundlage) für eine sachgemäße L</w:t>
      </w:r>
      <w:r w:rsidRPr="008F709C">
        <w:rPr>
          <w:rFonts w:ascii="Times New Roman" w:eastAsia="Calibri" w:hAnsi="Times New Roman" w:cs="Times New Roman"/>
          <w:b/>
          <w:i/>
        </w:rPr>
        <w:t>a</w:t>
      </w:r>
      <w:r w:rsidRPr="008F709C">
        <w:rPr>
          <w:rFonts w:ascii="Times New Roman" w:eastAsia="Calibri" w:hAnsi="Times New Roman" w:cs="Times New Roman"/>
          <w:b/>
          <w:i/>
        </w:rPr>
        <w:t>dungssicherung zugrunde zu legen.</w:t>
      </w:r>
    </w:p>
    <w:p w:rsidR="008F709C" w:rsidRDefault="008F709C" w:rsidP="00A704A0">
      <w:pPr>
        <w:pStyle w:val="Default"/>
        <w:tabs>
          <w:tab w:val="left" w:pos="952"/>
        </w:tabs>
        <w:spacing w:line="360" w:lineRule="auto"/>
        <w:ind w:left="907" w:hanging="907"/>
        <w:contextualSpacing/>
        <w:jc w:val="both"/>
        <w:rPr>
          <w:sz w:val="22"/>
          <w:szCs w:val="22"/>
        </w:rPr>
      </w:pPr>
    </w:p>
    <w:p w:rsidR="00577F4D" w:rsidRDefault="00577F4D" w:rsidP="00A704A0">
      <w:pPr>
        <w:pStyle w:val="Default"/>
        <w:tabs>
          <w:tab w:val="left" w:pos="938"/>
        </w:tabs>
        <w:spacing w:line="360" w:lineRule="auto"/>
        <w:contextualSpacing/>
        <w:jc w:val="both"/>
        <w:rPr>
          <w:sz w:val="22"/>
          <w:szCs w:val="22"/>
        </w:rPr>
      </w:pPr>
      <w:r>
        <w:rPr>
          <w:sz w:val="22"/>
          <w:szCs w:val="22"/>
        </w:rPr>
        <w:t>Eine weitere Grundlage zur Berechnung der Ladungssicherung stellt natürlich auch die VDI-Richtlinie 2700 Blatt 2</w:t>
      </w:r>
      <w:r w:rsidR="00A704A0">
        <w:rPr>
          <w:sz w:val="22"/>
          <w:szCs w:val="22"/>
        </w:rPr>
        <w:t>: 08/201</w:t>
      </w:r>
      <w:r w:rsidR="00C3100A">
        <w:rPr>
          <w:sz w:val="22"/>
          <w:szCs w:val="22"/>
        </w:rPr>
        <w:t>1</w:t>
      </w:r>
      <w:r>
        <w:rPr>
          <w:sz w:val="22"/>
          <w:szCs w:val="22"/>
        </w:rPr>
        <w:t xml:space="preserve"> dar, die aktuell überarbeitet und im Wesentlichen der alten DIN EN 12195-1:2003 angepasst wurde. Diese VDI-Richtlinie befindet sich jedoch z.Zt. noch in der Entwurfsphase und kann somit noch nicht als anerkannte Regel der Technik anges</w:t>
      </w:r>
      <w:r>
        <w:rPr>
          <w:sz w:val="22"/>
          <w:szCs w:val="22"/>
        </w:rPr>
        <w:t>e</w:t>
      </w:r>
      <w:r>
        <w:rPr>
          <w:sz w:val="22"/>
          <w:szCs w:val="22"/>
        </w:rPr>
        <w:t xml:space="preserve">hen werden. Die gilt natürlich nicht für </w:t>
      </w:r>
      <w:r w:rsidR="00A704A0">
        <w:rPr>
          <w:sz w:val="22"/>
          <w:szCs w:val="22"/>
        </w:rPr>
        <w:t>ihren</w:t>
      </w:r>
      <w:r>
        <w:rPr>
          <w:sz w:val="22"/>
          <w:szCs w:val="22"/>
        </w:rPr>
        <w:t xml:space="preserve"> Vorgänger, die VDI-Richtlinie 2700 Blatt 2 – 11/2002. Diese Richtlinie ist bis zur Veröffentlichung des Nachfolgers gültig und stellt eine in Deutschland allgemein anerkannte Regel der Technik dar. Hier sollte man jedoch bedenken, dass diese Richtlinie nicht zwingend einen höheren Sicherheitsstandar</w:t>
      </w:r>
      <w:r w:rsidR="003478ED">
        <w:rPr>
          <w:sz w:val="22"/>
          <w:szCs w:val="22"/>
        </w:rPr>
        <w:t>d</w:t>
      </w:r>
      <w:r>
        <w:rPr>
          <w:sz w:val="22"/>
          <w:szCs w:val="22"/>
        </w:rPr>
        <w:t xml:space="preserve"> definiert. So kennt die VDI-Richtlinie </w:t>
      </w:r>
      <w:r w:rsidR="003478ED">
        <w:rPr>
          <w:sz w:val="22"/>
          <w:szCs w:val="22"/>
        </w:rPr>
        <w:t xml:space="preserve">weder </w:t>
      </w:r>
      <w:r>
        <w:rPr>
          <w:sz w:val="22"/>
          <w:szCs w:val="22"/>
        </w:rPr>
        <w:t>einen k-Faktor</w:t>
      </w:r>
      <w:r w:rsidR="003478ED">
        <w:rPr>
          <w:sz w:val="22"/>
          <w:szCs w:val="22"/>
        </w:rPr>
        <w:t xml:space="preserve">, noch sogenannte </w:t>
      </w:r>
      <w:r w:rsidR="00A704A0">
        <w:rPr>
          <w:sz w:val="22"/>
          <w:szCs w:val="22"/>
        </w:rPr>
        <w:t>Sicherheitsbeiwerte</w:t>
      </w:r>
      <w:r w:rsidR="003478ED">
        <w:rPr>
          <w:sz w:val="22"/>
          <w:szCs w:val="22"/>
        </w:rPr>
        <w:t xml:space="preserve"> oder einen </w:t>
      </w:r>
      <w:r w:rsidR="00A704A0">
        <w:rPr>
          <w:sz w:val="22"/>
          <w:szCs w:val="22"/>
        </w:rPr>
        <w:t>Umrechnungsfaktor</w:t>
      </w:r>
      <w:r w:rsidR="003478ED">
        <w:rPr>
          <w:sz w:val="22"/>
          <w:szCs w:val="22"/>
        </w:rPr>
        <w:t xml:space="preserve"> bei der Reibung. Bei der Berechnung unterschiedlicher Sicherungsm</w:t>
      </w:r>
      <w:r w:rsidR="003478ED">
        <w:rPr>
          <w:sz w:val="22"/>
          <w:szCs w:val="22"/>
        </w:rPr>
        <w:t>e</w:t>
      </w:r>
      <w:r w:rsidR="003478ED">
        <w:rPr>
          <w:sz w:val="22"/>
          <w:szCs w:val="22"/>
        </w:rPr>
        <w:t>thoden und Beladefällen wird man feststellen, dass die Unterschiede zwischen den beiden Regelwerken oft sehr gering sind und zum Teil auch zu Gunsten der neuen Norm ausgehen.</w:t>
      </w:r>
    </w:p>
    <w:p w:rsidR="003478ED" w:rsidRDefault="003478ED" w:rsidP="00A704A0">
      <w:pPr>
        <w:pStyle w:val="Default"/>
        <w:tabs>
          <w:tab w:val="left" w:pos="938"/>
        </w:tabs>
        <w:spacing w:line="360" w:lineRule="auto"/>
        <w:contextualSpacing/>
        <w:jc w:val="both"/>
        <w:rPr>
          <w:sz w:val="22"/>
          <w:szCs w:val="22"/>
        </w:rPr>
      </w:pPr>
      <w:r>
        <w:rPr>
          <w:sz w:val="22"/>
          <w:szCs w:val="22"/>
        </w:rPr>
        <w:t xml:space="preserve">Auch ein Vorschlag durch Kontrollbeamte nach neuer Norm zu kontrollieren und dann, wenn nötig, die Nachsicherung nach alter Norm durchzuführen dürfte in der Praxis sehr schnell auf Probleme stoßen. </w:t>
      </w:r>
    </w:p>
    <w:p w:rsidR="003478ED" w:rsidRDefault="003478ED" w:rsidP="00A704A0">
      <w:pPr>
        <w:pStyle w:val="Default"/>
        <w:tabs>
          <w:tab w:val="left" w:pos="938"/>
        </w:tabs>
        <w:spacing w:line="360" w:lineRule="auto"/>
        <w:contextualSpacing/>
        <w:jc w:val="both"/>
        <w:rPr>
          <w:sz w:val="22"/>
          <w:szCs w:val="22"/>
        </w:rPr>
      </w:pPr>
    </w:p>
    <w:p w:rsidR="00B00F23" w:rsidRDefault="00B00F23">
      <w:pPr>
        <w:rPr>
          <w:rFonts w:ascii="Arial" w:eastAsia="Times New Roman" w:hAnsi="Arial" w:cs="Arial"/>
          <w:color w:val="000000"/>
          <w:lang w:eastAsia="de-DE"/>
        </w:rPr>
      </w:pPr>
      <w:r>
        <w:br w:type="page"/>
      </w:r>
    </w:p>
    <w:p w:rsidR="003478ED" w:rsidRDefault="003478ED" w:rsidP="00A704A0">
      <w:pPr>
        <w:pStyle w:val="Default"/>
        <w:tabs>
          <w:tab w:val="left" w:pos="938"/>
        </w:tabs>
        <w:spacing w:line="360" w:lineRule="auto"/>
        <w:contextualSpacing/>
        <w:jc w:val="both"/>
        <w:rPr>
          <w:sz w:val="22"/>
          <w:szCs w:val="22"/>
        </w:rPr>
      </w:pPr>
      <w:r>
        <w:rPr>
          <w:sz w:val="22"/>
          <w:szCs w:val="22"/>
        </w:rPr>
        <w:lastRenderedPageBreak/>
        <w:t xml:space="preserve">Doch welche Punkte in </w:t>
      </w:r>
      <w:proofErr w:type="gramStart"/>
      <w:r>
        <w:rPr>
          <w:sz w:val="22"/>
          <w:szCs w:val="22"/>
        </w:rPr>
        <w:t>der</w:t>
      </w:r>
      <w:proofErr w:type="gramEnd"/>
      <w:r>
        <w:rPr>
          <w:sz w:val="22"/>
          <w:szCs w:val="22"/>
        </w:rPr>
        <w:t xml:space="preserve"> neuen Normen stoßen überhaupt auf so vehemente Ablehnung:</w:t>
      </w:r>
    </w:p>
    <w:p w:rsidR="003478ED" w:rsidRDefault="003478ED" w:rsidP="00A704A0">
      <w:pPr>
        <w:pStyle w:val="Default"/>
        <w:tabs>
          <w:tab w:val="left" w:pos="938"/>
        </w:tabs>
        <w:spacing w:line="360" w:lineRule="auto"/>
        <w:contextualSpacing/>
        <w:jc w:val="both"/>
        <w:rPr>
          <w:sz w:val="22"/>
          <w:szCs w:val="22"/>
        </w:rPr>
      </w:pPr>
      <w:r>
        <w:rPr>
          <w:sz w:val="22"/>
          <w:szCs w:val="22"/>
        </w:rPr>
        <w:t>Dazu heißt es im nationalen Vorwort:</w:t>
      </w:r>
    </w:p>
    <w:p w:rsidR="00A704A0" w:rsidRDefault="00A704A0" w:rsidP="00A704A0">
      <w:pPr>
        <w:pStyle w:val="Default"/>
        <w:tabs>
          <w:tab w:val="left" w:pos="938"/>
        </w:tabs>
        <w:spacing w:line="360" w:lineRule="auto"/>
        <w:contextualSpacing/>
        <w:jc w:val="both"/>
        <w:rPr>
          <w:sz w:val="22"/>
          <w:szCs w:val="22"/>
        </w:rPr>
      </w:pPr>
    </w:p>
    <w:p w:rsidR="009E36E1" w:rsidRDefault="009E36E1" w:rsidP="00A704A0">
      <w:pPr>
        <w:pStyle w:val="Default"/>
        <w:tabs>
          <w:tab w:val="left" w:pos="938"/>
        </w:tabs>
        <w:spacing w:line="360" w:lineRule="auto"/>
        <w:ind w:left="616" w:hanging="98"/>
        <w:contextualSpacing/>
        <w:rPr>
          <w:rFonts w:ascii="Times New Roman" w:hAnsi="Times New Roman" w:cs="Times New Roman"/>
          <w:b/>
          <w:bCs/>
          <w:i/>
          <w:sz w:val="22"/>
          <w:szCs w:val="22"/>
        </w:rPr>
      </w:pPr>
      <w:r w:rsidRPr="009E36E1">
        <w:rPr>
          <w:rFonts w:ascii="Times New Roman" w:hAnsi="Times New Roman" w:cs="Times New Roman"/>
          <w:b/>
          <w:bCs/>
          <w:i/>
          <w:sz w:val="22"/>
          <w:szCs w:val="22"/>
        </w:rPr>
        <w:t xml:space="preserve">Die Norm EN 12195-1:2010 </w:t>
      </w:r>
    </w:p>
    <w:p w:rsidR="00A704A0" w:rsidRPr="009E36E1" w:rsidRDefault="00A704A0" w:rsidP="00A704A0">
      <w:pPr>
        <w:pStyle w:val="Default"/>
        <w:tabs>
          <w:tab w:val="left" w:pos="938"/>
        </w:tabs>
        <w:spacing w:line="360" w:lineRule="auto"/>
        <w:ind w:left="616" w:hanging="98"/>
        <w:contextualSpacing/>
        <w:rPr>
          <w:rFonts w:ascii="Times New Roman" w:hAnsi="Times New Roman" w:cs="Times New Roman"/>
          <w:b/>
          <w:i/>
          <w:sz w:val="22"/>
          <w:szCs w:val="22"/>
        </w:rPr>
      </w:pPr>
    </w:p>
    <w:p w:rsidR="009E36E1" w:rsidRPr="009E36E1" w:rsidRDefault="009E36E1" w:rsidP="00A704A0">
      <w:pPr>
        <w:pStyle w:val="Default"/>
        <w:tabs>
          <w:tab w:val="left" w:pos="938"/>
        </w:tabs>
        <w:spacing w:line="360" w:lineRule="auto"/>
        <w:ind w:left="616" w:hanging="98"/>
        <w:contextualSpacing/>
        <w:rPr>
          <w:rFonts w:ascii="Times New Roman" w:hAnsi="Times New Roman" w:cs="Times New Roman"/>
          <w:b/>
          <w:i/>
          <w:sz w:val="22"/>
          <w:szCs w:val="22"/>
        </w:rPr>
      </w:pPr>
      <w:r w:rsidRPr="009E36E1">
        <w:rPr>
          <w:rFonts w:ascii="Times New Roman" w:hAnsi="Times New Roman" w:cs="Times New Roman"/>
          <w:b/>
          <w:bCs/>
          <w:i/>
          <w:sz w:val="22"/>
          <w:szCs w:val="22"/>
        </w:rPr>
        <w:t>a) entspricht in wesentlichen Punkten nicht dem in Deutschland üblichen</w:t>
      </w:r>
      <w:r>
        <w:rPr>
          <w:rFonts w:ascii="Times New Roman" w:hAnsi="Times New Roman" w:cs="Times New Roman"/>
          <w:b/>
          <w:bCs/>
          <w:i/>
          <w:sz w:val="22"/>
          <w:szCs w:val="22"/>
        </w:rPr>
        <w:t xml:space="preserve"> </w:t>
      </w:r>
      <w:r w:rsidRPr="009E36E1">
        <w:rPr>
          <w:rFonts w:ascii="Times New Roman" w:hAnsi="Times New Roman" w:cs="Times New Roman"/>
          <w:b/>
          <w:bCs/>
          <w:i/>
          <w:sz w:val="22"/>
          <w:szCs w:val="22"/>
        </w:rPr>
        <w:t xml:space="preserve">Sicherheitsniveau; </w:t>
      </w:r>
    </w:p>
    <w:p w:rsidR="009E36E1" w:rsidRDefault="009E36E1" w:rsidP="00A704A0">
      <w:pPr>
        <w:pStyle w:val="Default"/>
        <w:tabs>
          <w:tab w:val="left" w:pos="1162"/>
        </w:tabs>
        <w:spacing w:line="360" w:lineRule="auto"/>
        <w:ind w:left="756" w:hanging="238"/>
        <w:contextualSpacing/>
        <w:rPr>
          <w:rFonts w:ascii="Times New Roman" w:hAnsi="Times New Roman" w:cs="Times New Roman"/>
          <w:b/>
          <w:bCs/>
          <w:i/>
          <w:sz w:val="22"/>
          <w:szCs w:val="22"/>
        </w:rPr>
      </w:pPr>
      <w:r w:rsidRPr="009E36E1">
        <w:rPr>
          <w:rFonts w:ascii="Times New Roman" w:hAnsi="Times New Roman" w:cs="Times New Roman"/>
          <w:b/>
          <w:bCs/>
          <w:i/>
          <w:sz w:val="22"/>
          <w:szCs w:val="22"/>
        </w:rPr>
        <w:t>b) enthält keinen k-Wert mehr. Die Verringerung der Vorspannkraft auf der dem Spannel</w:t>
      </w:r>
      <w:r w:rsidRPr="009E36E1">
        <w:rPr>
          <w:rFonts w:ascii="Times New Roman" w:hAnsi="Times New Roman" w:cs="Times New Roman"/>
          <w:b/>
          <w:bCs/>
          <w:i/>
          <w:sz w:val="22"/>
          <w:szCs w:val="22"/>
        </w:rPr>
        <w:t>e</w:t>
      </w:r>
      <w:r w:rsidRPr="009E36E1">
        <w:rPr>
          <w:rFonts w:ascii="Times New Roman" w:hAnsi="Times New Roman" w:cs="Times New Roman"/>
          <w:b/>
          <w:bCs/>
          <w:i/>
          <w:sz w:val="22"/>
          <w:szCs w:val="22"/>
        </w:rPr>
        <w:t>ment gegenüberliegenden Seite durch Reibungsverluste wir</w:t>
      </w:r>
      <w:r>
        <w:rPr>
          <w:rFonts w:ascii="Times New Roman" w:hAnsi="Times New Roman" w:cs="Times New Roman"/>
          <w:b/>
          <w:bCs/>
          <w:i/>
          <w:sz w:val="22"/>
          <w:szCs w:val="22"/>
        </w:rPr>
        <w:t xml:space="preserve">d damit </w:t>
      </w:r>
      <w:r w:rsidRPr="009E36E1">
        <w:rPr>
          <w:rFonts w:ascii="Times New Roman" w:hAnsi="Times New Roman" w:cs="Times New Roman"/>
          <w:b/>
          <w:bCs/>
          <w:i/>
          <w:sz w:val="22"/>
          <w:szCs w:val="22"/>
        </w:rPr>
        <w:t>nicht entsprechend b</w:t>
      </w:r>
      <w:r w:rsidRPr="009E36E1">
        <w:rPr>
          <w:rFonts w:ascii="Times New Roman" w:hAnsi="Times New Roman" w:cs="Times New Roman"/>
          <w:b/>
          <w:bCs/>
          <w:i/>
          <w:sz w:val="22"/>
          <w:szCs w:val="22"/>
        </w:rPr>
        <w:t>e</w:t>
      </w:r>
      <w:r w:rsidRPr="009E36E1">
        <w:rPr>
          <w:rFonts w:ascii="Times New Roman" w:hAnsi="Times New Roman" w:cs="Times New Roman"/>
          <w:b/>
          <w:bCs/>
          <w:i/>
          <w:sz w:val="22"/>
          <w:szCs w:val="22"/>
        </w:rPr>
        <w:t xml:space="preserve">rücksichtigt; </w:t>
      </w:r>
    </w:p>
    <w:p w:rsidR="00A704A0" w:rsidRPr="009E36E1" w:rsidRDefault="00A704A0" w:rsidP="00A704A0">
      <w:pPr>
        <w:pStyle w:val="Default"/>
        <w:tabs>
          <w:tab w:val="left" w:pos="1162"/>
        </w:tabs>
        <w:spacing w:line="360" w:lineRule="auto"/>
        <w:ind w:left="756" w:hanging="238"/>
        <w:contextualSpacing/>
        <w:rPr>
          <w:rFonts w:ascii="Times New Roman" w:hAnsi="Times New Roman" w:cs="Times New Roman"/>
          <w:b/>
          <w:i/>
          <w:sz w:val="22"/>
          <w:szCs w:val="22"/>
        </w:rPr>
      </w:pPr>
    </w:p>
    <w:p w:rsidR="003478ED" w:rsidRDefault="009E36E1" w:rsidP="00A704A0">
      <w:pPr>
        <w:pStyle w:val="Default"/>
        <w:tabs>
          <w:tab w:val="left" w:pos="1134"/>
        </w:tabs>
        <w:spacing w:line="360" w:lineRule="auto"/>
        <w:ind w:left="1134"/>
        <w:contextualSpacing/>
        <w:jc w:val="both"/>
        <w:rPr>
          <w:sz w:val="22"/>
          <w:szCs w:val="22"/>
        </w:rPr>
      </w:pPr>
      <w:r>
        <w:rPr>
          <w:sz w:val="22"/>
          <w:szCs w:val="22"/>
        </w:rPr>
        <w:t xml:space="preserve">Mit Einführung des k-Faktors in der DIN EN </w:t>
      </w:r>
      <w:r w:rsidR="00A704A0">
        <w:rPr>
          <w:sz w:val="22"/>
          <w:szCs w:val="22"/>
        </w:rPr>
        <w:t xml:space="preserve">im Jahr </w:t>
      </w:r>
      <w:r>
        <w:rPr>
          <w:sz w:val="22"/>
          <w:szCs w:val="22"/>
        </w:rPr>
        <w:t>2003 wurde der Reibung</w:t>
      </w:r>
      <w:r>
        <w:rPr>
          <w:sz w:val="22"/>
          <w:szCs w:val="22"/>
        </w:rPr>
        <w:t>s</w:t>
      </w:r>
      <w:r>
        <w:rPr>
          <w:sz w:val="22"/>
          <w:szCs w:val="22"/>
        </w:rPr>
        <w:t>verlust bei der Umleitung des Gurtbandes an den Kanten der Ladung berücksic</w:t>
      </w:r>
      <w:r>
        <w:rPr>
          <w:sz w:val="22"/>
          <w:szCs w:val="22"/>
        </w:rPr>
        <w:t>h</w:t>
      </w:r>
      <w:r>
        <w:rPr>
          <w:sz w:val="22"/>
          <w:szCs w:val="22"/>
        </w:rPr>
        <w:t xml:space="preserve">tigt. Man geht davon aus, dass ein Zurrmittel 50% seiner Vorspannung durch Reibungsverluste verliert. Daraus ergibt sich ein k-Wert von 1,5. Dieser Wert konnte nur nach oben verändert werden, wenn entweder auf beiden Seiten der </w:t>
      </w:r>
      <w:proofErr w:type="spellStart"/>
      <w:r>
        <w:rPr>
          <w:sz w:val="22"/>
          <w:szCs w:val="22"/>
        </w:rPr>
        <w:t>Niederzurrung</w:t>
      </w:r>
      <w:proofErr w:type="spellEnd"/>
      <w:r>
        <w:rPr>
          <w:sz w:val="22"/>
          <w:szCs w:val="22"/>
        </w:rPr>
        <w:t xml:space="preserve"> ein Spannelement angebracht wurde oder ein </w:t>
      </w:r>
      <w:proofErr w:type="spellStart"/>
      <w:r>
        <w:rPr>
          <w:sz w:val="22"/>
          <w:szCs w:val="22"/>
        </w:rPr>
        <w:t>Messprotokoll</w:t>
      </w:r>
      <w:proofErr w:type="spellEnd"/>
      <w:r>
        <w:rPr>
          <w:sz w:val="22"/>
          <w:szCs w:val="22"/>
        </w:rPr>
        <w:t xml:space="preserve"> der tatsächlich aufgebrachten Vorspannkraft vorlag. In der z.Zt. noch gültigen VDI-Richtlinie 2700 Blatt 2 gibt es ebenfalls keinen k-Wert. In beiden Regelwerken werden die Reibungsverluste zwar im Text erwähnt, aber in den Berechnungen nicht aufgeführt.</w:t>
      </w:r>
    </w:p>
    <w:p w:rsidR="007418AA" w:rsidRDefault="007418AA" w:rsidP="00A704A0">
      <w:pPr>
        <w:pStyle w:val="Default"/>
        <w:tabs>
          <w:tab w:val="left" w:pos="1134"/>
        </w:tabs>
        <w:spacing w:line="360" w:lineRule="auto"/>
        <w:ind w:left="1134"/>
        <w:contextualSpacing/>
        <w:jc w:val="both"/>
        <w:rPr>
          <w:sz w:val="22"/>
          <w:szCs w:val="22"/>
        </w:rPr>
      </w:pPr>
    </w:p>
    <w:p w:rsidR="009E36E1" w:rsidRDefault="009E36E1" w:rsidP="00A704A0">
      <w:pPr>
        <w:pStyle w:val="Default"/>
        <w:tabs>
          <w:tab w:val="left" w:pos="1134"/>
        </w:tabs>
        <w:spacing w:line="360" w:lineRule="auto"/>
        <w:ind w:left="770" w:hanging="238"/>
        <w:contextualSpacing/>
        <w:rPr>
          <w:rFonts w:ascii="Times New Roman" w:hAnsi="Times New Roman" w:cs="Times New Roman"/>
          <w:b/>
          <w:bCs/>
          <w:i/>
          <w:sz w:val="22"/>
          <w:szCs w:val="22"/>
        </w:rPr>
      </w:pPr>
      <w:r w:rsidRPr="009E36E1">
        <w:rPr>
          <w:rFonts w:ascii="Times New Roman" w:hAnsi="Times New Roman" w:cs="Times New Roman"/>
          <w:b/>
          <w:bCs/>
          <w:i/>
          <w:sz w:val="22"/>
          <w:szCs w:val="22"/>
        </w:rPr>
        <w:t>c) verfügt nicht mehr über einheitliche Anforderungen zur Kippgefahr (unterschiedliche Fa</w:t>
      </w:r>
      <w:r w:rsidRPr="009E36E1">
        <w:rPr>
          <w:rFonts w:ascii="Times New Roman" w:hAnsi="Times New Roman" w:cs="Times New Roman"/>
          <w:b/>
          <w:bCs/>
          <w:i/>
          <w:sz w:val="22"/>
          <w:szCs w:val="22"/>
        </w:rPr>
        <w:t>k</w:t>
      </w:r>
      <w:r w:rsidRPr="009E36E1">
        <w:rPr>
          <w:rFonts w:ascii="Times New Roman" w:hAnsi="Times New Roman" w:cs="Times New Roman"/>
          <w:b/>
          <w:bCs/>
          <w:i/>
          <w:sz w:val="22"/>
          <w:szCs w:val="22"/>
        </w:rPr>
        <w:t>toren und Beschleunigungswerte in Abhängigkeit</w:t>
      </w:r>
      <w:r w:rsidR="007418AA">
        <w:rPr>
          <w:rFonts w:ascii="Times New Roman" w:hAnsi="Times New Roman" w:cs="Times New Roman"/>
          <w:b/>
          <w:bCs/>
          <w:i/>
          <w:sz w:val="22"/>
          <w:szCs w:val="22"/>
        </w:rPr>
        <w:t xml:space="preserve"> unterschiedlicher Zurrarten)</w:t>
      </w:r>
    </w:p>
    <w:p w:rsidR="00A704A0" w:rsidRPr="009E36E1" w:rsidRDefault="00A704A0" w:rsidP="00A704A0">
      <w:pPr>
        <w:pStyle w:val="Default"/>
        <w:tabs>
          <w:tab w:val="left" w:pos="1134"/>
        </w:tabs>
        <w:spacing w:line="360" w:lineRule="auto"/>
        <w:ind w:left="770" w:hanging="238"/>
        <w:contextualSpacing/>
        <w:rPr>
          <w:rFonts w:ascii="Times New Roman" w:hAnsi="Times New Roman" w:cs="Times New Roman"/>
          <w:b/>
          <w:bCs/>
          <w:i/>
          <w:sz w:val="22"/>
          <w:szCs w:val="22"/>
        </w:rPr>
      </w:pPr>
    </w:p>
    <w:p w:rsidR="009E36E1" w:rsidRDefault="00A704A0" w:rsidP="00A704A0">
      <w:pPr>
        <w:pStyle w:val="Default"/>
        <w:tabs>
          <w:tab w:val="left" w:pos="1134"/>
        </w:tabs>
        <w:spacing w:line="360" w:lineRule="auto"/>
        <w:ind w:left="1134"/>
        <w:contextualSpacing/>
        <w:jc w:val="both"/>
        <w:rPr>
          <w:sz w:val="22"/>
          <w:szCs w:val="22"/>
        </w:rPr>
      </w:pPr>
      <w:r>
        <w:rPr>
          <w:sz w:val="22"/>
          <w:szCs w:val="22"/>
        </w:rPr>
        <w:t>Nach</w:t>
      </w:r>
      <w:r w:rsidR="007418AA">
        <w:rPr>
          <w:sz w:val="22"/>
          <w:szCs w:val="22"/>
        </w:rPr>
        <w:t xml:space="preserve"> der alten Norm, sowie in der VDI-Richtlinie w</w:t>
      </w:r>
      <w:r>
        <w:rPr>
          <w:sz w:val="22"/>
          <w:szCs w:val="22"/>
        </w:rPr>
        <w:t>ird</w:t>
      </w:r>
      <w:r w:rsidR="007418AA">
        <w:rPr>
          <w:sz w:val="22"/>
          <w:szCs w:val="22"/>
        </w:rPr>
        <w:t xml:space="preserve"> bei kippgefährdeten Lad</w:t>
      </w:r>
      <w:r w:rsidR="007418AA">
        <w:rPr>
          <w:sz w:val="22"/>
          <w:szCs w:val="22"/>
        </w:rPr>
        <w:t>e</w:t>
      </w:r>
      <w:r w:rsidR="007418AA">
        <w:rPr>
          <w:sz w:val="22"/>
          <w:szCs w:val="22"/>
        </w:rPr>
        <w:t>gütern ein Zuschlag von 20% zu Seite gerechnet (0,7g statt 0,5g). Bei der B</w:t>
      </w:r>
      <w:r w:rsidR="007418AA">
        <w:rPr>
          <w:sz w:val="22"/>
          <w:szCs w:val="22"/>
        </w:rPr>
        <w:t>e</w:t>
      </w:r>
      <w:r w:rsidR="007418AA">
        <w:rPr>
          <w:sz w:val="22"/>
          <w:szCs w:val="22"/>
        </w:rPr>
        <w:t xml:space="preserve">rechnung der Kippgefahr </w:t>
      </w:r>
      <w:r>
        <w:rPr>
          <w:sz w:val="22"/>
          <w:szCs w:val="22"/>
        </w:rPr>
        <w:t>muss</w:t>
      </w:r>
      <w:r w:rsidR="007418AA">
        <w:rPr>
          <w:sz w:val="22"/>
          <w:szCs w:val="22"/>
        </w:rPr>
        <w:t xml:space="preserve"> bereits der Wert 0,7g (</w:t>
      </w:r>
      <w:r w:rsidR="007418AA">
        <w:rPr>
          <w:sz w:val="22"/>
          <w:szCs w:val="22"/>
        </w:rPr>
        <w:sym w:font="Symbol" w:char="F0A6"/>
      </w:r>
      <w:r w:rsidR="007418AA" w:rsidRPr="007418AA">
        <w:rPr>
          <w:sz w:val="22"/>
          <w:szCs w:val="22"/>
          <w:vertAlign w:val="subscript"/>
        </w:rPr>
        <w:t>q</w:t>
      </w:r>
      <w:r w:rsidR="007418AA">
        <w:rPr>
          <w:sz w:val="22"/>
          <w:szCs w:val="22"/>
        </w:rPr>
        <w:t xml:space="preserve"> + </w:t>
      </w:r>
      <w:r w:rsidR="007418AA">
        <w:rPr>
          <w:sz w:val="22"/>
          <w:szCs w:val="22"/>
        </w:rPr>
        <w:sym w:font="Symbol" w:char="F0A6"/>
      </w:r>
      <w:r w:rsidR="007418AA" w:rsidRPr="007418AA">
        <w:rPr>
          <w:sz w:val="22"/>
          <w:szCs w:val="22"/>
          <w:vertAlign w:val="subscript"/>
        </w:rPr>
        <w:t>w</w:t>
      </w:r>
      <w:r w:rsidR="007418AA">
        <w:rPr>
          <w:sz w:val="22"/>
          <w:szCs w:val="22"/>
        </w:rPr>
        <w:t>) zu Grund gelegt</w:t>
      </w:r>
      <w:r>
        <w:rPr>
          <w:sz w:val="22"/>
          <w:szCs w:val="22"/>
        </w:rPr>
        <w:t xml:space="preserve"> werden</w:t>
      </w:r>
      <w:r w:rsidR="007418AA">
        <w:rPr>
          <w:sz w:val="22"/>
          <w:szCs w:val="22"/>
        </w:rPr>
        <w:t>.</w:t>
      </w:r>
    </w:p>
    <w:p w:rsidR="007418AA" w:rsidRDefault="007418AA" w:rsidP="00A704A0">
      <w:pPr>
        <w:pStyle w:val="Default"/>
        <w:tabs>
          <w:tab w:val="left" w:pos="1134"/>
        </w:tabs>
        <w:spacing w:line="360" w:lineRule="auto"/>
        <w:ind w:left="1134"/>
        <w:contextualSpacing/>
        <w:jc w:val="both"/>
        <w:rPr>
          <w:sz w:val="22"/>
          <w:szCs w:val="22"/>
        </w:rPr>
      </w:pPr>
      <w:r>
        <w:rPr>
          <w:sz w:val="22"/>
          <w:szCs w:val="22"/>
        </w:rPr>
        <w:t>Anders bei der Berechnung nach der neuen Norm.</w:t>
      </w:r>
    </w:p>
    <w:p w:rsidR="007418AA" w:rsidRDefault="007418AA" w:rsidP="00A704A0">
      <w:pPr>
        <w:pStyle w:val="Default"/>
        <w:tabs>
          <w:tab w:val="left" w:pos="1134"/>
        </w:tabs>
        <w:spacing w:line="360" w:lineRule="auto"/>
        <w:ind w:left="1134"/>
        <w:contextualSpacing/>
        <w:jc w:val="both"/>
        <w:rPr>
          <w:sz w:val="22"/>
          <w:szCs w:val="22"/>
        </w:rPr>
      </w:pPr>
      <w:r>
        <w:rPr>
          <w:sz w:val="22"/>
          <w:szCs w:val="22"/>
        </w:rPr>
        <w:t>Beim Direktzurren wird eine Wert von 0,6g (</w:t>
      </w:r>
      <w:proofErr w:type="spellStart"/>
      <w:r>
        <w:rPr>
          <w:sz w:val="22"/>
          <w:szCs w:val="22"/>
        </w:rPr>
        <w:t>c</w:t>
      </w:r>
      <w:r w:rsidRPr="007418AA">
        <w:rPr>
          <w:sz w:val="22"/>
          <w:szCs w:val="22"/>
          <w:vertAlign w:val="subscript"/>
        </w:rPr>
        <w:t>y</w:t>
      </w:r>
      <w:proofErr w:type="spellEnd"/>
      <w:r>
        <w:rPr>
          <w:sz w:val="22"/>
          <w:szCs w:val="22"/>
        </w:rPr>
        <w:t xml:space="preserve"> = 0,6) eingesetzt.</w:t>
      </w:r>
    </w:p>
    <w:p w:rsidR="007418AA" w:rsidRDefault="007418AA" w:rsidP="00A704A0">
      <w:pPr>
        <w:pStyle w:val="Default"/>
        <w:tabs>
          <w:tab w:val="left" w:pos="1134"/>
        </w:tabs>
        <w:spacing w:line="360" w:lineRule="auto"/>
        <w:ind w:left="1134"/>
        <w:contextualSpacing/>
        <w:jc w:val="both"/>
        <w:rPr>
          <w:sz w:val="22"/>
          <w:szCs w:val="22"/>
        </w:rPr>
      </w:pPr>
      <w:r>
        <w:rPr>
          <w:sz w:val="22"/>
          <w:szCs w:val="22"/>
        </w:rPr>
        <w:t>Beim Niederzurren ist der jeweils größere Wert zu benutzen, der sich aus der fo</w:t>
      </w:r>
      <w:r>
        <w:rPr>
          <w:sz w:val="22"/>
          <w:szCs w:val="22"/>
        </w:rPr>
        <w:t>l</w:t>
      </w:r>
      <w:r>
        <w:rPr>
          <w:sz w:val="22"/>
          <w:szCs w:val="22"/>
        </w:rPr>
        <w:t>genden Überlegung ergibt:</w:t>
      </w:r>
    </w:p>
    <w:p w:rsidR="007418AA" w:rsidRDefault="007418AA" w:rsidP="00A704A0">
      <w:pPr>
        <w:pStyle w:val="Default"/>
        <w:tabs>
          <w:tab w:val="left" w:pos="1134"/>
        </w:tabs>
        <w:spacing w:line="360" w:lineRule="auto"/>
        <w:ind w:left="2124"/>
        <w:contextualSpacing/>
        <w:jc w:val="both"/>
        <w:rPr>
          <w:sz w:val="22"/>
          <w:szCs w:val="22"/>
        </w:rPr>
      </w:pPr>
      <w:proofErr w:type="spellStart"/>
      <w:r>
        <w:rPr>
          <w:sz w:val="22"/>
          <w:szCs w:val="22"/>
        </w:rPr>
        <w:t>c</w:t>
      </w:r>
      <w:r w:rsidRPr="007418AA">
        <w:rPr>
          <w:sz w:val="22"/>
          <w:szCs w:val="22"/>
          <w:vertAlign w:val="subscript"/>
        </w:rPr>
        <w:t>y</w:t>
      </w:r>
      <w:proofErr w:type="spellEnd"/>
      <w:r>
        <w:rPr>
          <w:sz w:val="22"/>
          <w:szCs w:val="22"/>
        </w:rPr>
        <w:t xml:space="preserve"> = 0,5 bei F</w:t>
      </w:r>
      <w:r w:rsidRPr="007418AA">
        <w:rPr>
          <w:b/>
          <w:sz w:val="22"/>
          <w:szCs w:val="22"/>
          <w:vertAlign w:val="subscript"/>
        </w:rPr>
        <w:t>T</w:t>
      </w:r>
      <w:r>
        <w:rPr>
          <w:sz w:val="22"/>
          <w:szCs w:val="22"/>
        </w:rPr>
        <w:t xml:space="preserve"> = S</w:t>
      </w:r>
      <w:r w:rsidRPr="007418AA">
        <w:rPr>
          <w:b/>
          <w:sz w:val="22"/>
          <w:szCs w:val="22"/>
          <w:vertAlign w:val="subscript"/>
        </w:rPr>
        <w:t>TF</w:t>
      </w:r>
    </w:p>
    <w:p w:rsidR="007418AA" w:rsidRDefault="007418AA" w:rsidP="00A704A0">
      <w:pPr>
        <w:pStyle w:val="Default"/>
        <w:tabs>
          <w:tab w:val="left" w:pos="1134"/>
        </w:tabs>
        <w:spacing w:line="360" w:lineRule="auto"/>
        <w:ind w:left="2124"/>
        <w:contextualSpacing/>
        <w:jc w:val="both"/>
        <w:rPr>
          <w:sz w:val="22"/>
          <w:szCs w:val="22"/>
        </w:rPr>
      </w:pPr>
      <w:proofErr w:type="spellStart"/>
      <w:r>
        <w:rPr>
          <w:sz w:val="22"/>
          <w:szCs w:val="22"/>
        </w:rPr>
        <w:t>c</w:t>
      </w:r>
      <w:r w:rsidRPr="007418AA">
        <w:rPr>
          <w:sz w:val="22"/>
          <w:szCs w:val="22"/>
          <w:vertAlign w:val="subscript"/>
        </w:rPr>
        <w:t>y</w:t>
      </w:r>
      <w:proofErr w:type="spellEnd"/>
      <w:r>
        <w:rPr>
          <w:sz w:val="22"/>
          <w:szCs w:val="22"/>
        </w:rPr>
        <w:t xml:space="preserve"> = 0,6 bei F</w:t>
      </w:r>
      <w:r w:rsidRPr="007418AA">
        <w:rPr>
          <w:b/>
          <w:sz w:val="22"/>
          <w:szCs w:val="22"/>
          <w:vertAlign w:val="subscript"/>
        </w:rPr>
        <w:t>T</w:t>
      </w:r>
      <w:r>
        <w:rPr>
          <w:sz w:val="22"/>
          <w:szCs w:val="22"/>
        </w:rPr>
        <w:t xml:space="preserve"> = 0,5*LC</w:t>
      </w:r>
    </w:p>
    <w:p w:rsidR="001D216C" w:rsidRDefault="001D216C" w:rsidP="00A704A0">
      <w:pPr>
        <w:pStyle w:val="Default"/>
        <w:tabs>
          <w:tab w:val="left" w:pos="1134"/>
        </w:tabs>
        <w:spacing w:line="360" w:lineRule="auto"/>
        <w:ind w:left="1134"/>
        <w:contextualSpacing/>
        <w:jc w:val="both"/>
        <w:rPr>
          <w:sz w:val="22"/>
          <w:szCs w:val="22"/>
        </w:rPr>
      </w:pPr>
      <w:r>
        <w:rPr>
          <w:sz w:val="22"/>
          <w:szCs w:val="22"/>
        </w:rPr>
        <w:t>F</w:t>
      </w:r>
      <w:r w:rsidRPr="00B124DE">
        <w:rPr>
          <w:b/>
          <w:sz w:val="22"/>
          <w:szCs w:val="22"/>
          <w:vertAlign w:val="subscript"/>
        </w:rPr>
        <w:t>T</w:t>
      </w:r>
      <w:r>
        <w:rPr>
          <w:sz w:val="22"/>
          <w:szCs w:val="22"/>
        </w:rPr>
        <w:t xml:space="preserve"> entspricht dabei der Vorspannkraft im Zurrmittel, die ja 50% der zulässigen Zugkraft (LC) nicht übersteigen sollte. Vergleichs</w:t>
      </w:r>
      <w:r w:rsidR="00A704A0">
        <w:rPr>
          <w:sz w:val="22"/>
          <w:szCs w:val="22"/>
        </w:rPr>
        <w:t>be</w:t>
      </w:r>
      <w:r>
        <w:rPr>
          <w:sz w:val="22"/>
          <w:szCs w:val="22"/>
        </w:rPr>
        <w:t xml:space="preserve">rechnungen zeigen, dass der </w:t>
      </w:r>
      <w:r>
        <w:rPr>
          <w:sz w:val="22"/>
          <w:szCs w:val="22"/>
        </w:rPr>
        <w:lastRenderedPageBreak/>
        <w:t xml:space="preserve">Wert </w:t>
      </w:r>
      <w:proofErr w:type="spellStart"/>
      <w:r>
        <w:rPr>
          <w:sz w:val="22"/>
          <w:szCs w:val="22"/>
        </w:rPr>
        <w:t>c</w:t>
      </w:r>
      <w:r w:rsidRPr="007418AA">
        <w:rPr>
          <w:sz w:val="22"/>
          <w:szCs w:val="22"/>
          <w:vertAlign w:val="subscript"/>
        </w:rPr>
        <w:t>y</w:t>
      </w:r>
      <w:proofErr w:type="spellEnd"/>
      <w:r>
        <w:rPr>
          <w:sz w:val="22"/>
          <w:szCs w:val="22"/>
        </w:rPr>
        <w:t xml:space="preserve"> = 0,6 nur bei sehr hohen S</w:t>
      </w:r>
      <w:r w:rsidRPr="001D216C">
        <w:rPr>
          <w:b/>
          <w:sz w:val="22"/>
          <w:szCs w:val="22"/>
          <w:vertAlign w:val="subscript"/>
        </w:rPr>
        <w:t>TF</w:t>
      </w:r>
      <w:r>
        <w:rPr>
          <w:sz w:val="22"/>
          <w:szCs w:val="22"/>
        </w:rPr>
        <w:t>-Werten des Spannelementes relevant we</w:t>
      </w:r>
      <w:r>
        <w:rPr>
          <w:sz w:val="22"/>
          <w:szCs w:val="22"/>
        </w:rPr>
        <w:t>r</w:t>
      </w:r>
      <w:r>
        <w:rPr>
          <w:sz w:val="22"/>
          <w:szCs w:val="22"/>
        </w:rPr>
        <w:t>den kann (Bsp.: Kettenspanner S</w:t>
      </w:r>
      <w:r w:rsidRPr="001D216C">
        <w:rPr>
          <w:b/>
          <w:sz w:val="22"/>
          <w:szCs w:val="22"/>
          <w:vertAlign w:val="subscript"/>
        </w:rPr>
        <w:t>TF</w:t>
      </w:r>
      <w:r>
        <w:rPr>
          <w:sz w:val="22"/>
          <w:szCs w:val="22"/>
        </w:rPr>
        <w:t>= 3.150daN). Bei Zurrgurten (bis S</w:t>
      </w:r>
      <w:r w:rsidRPr="001D216C">
        <w:rPr>
          <w:b/>
          <w:sz w:val="22"/>
          <w:szCs w:val="22"/>
          <w:vertAlign w:val="subscript"/>
        </w:rPr>
        <w:t>TF</w:t>
      </w:r>
      <w:r>
        <w:rPr>
          <w:sz w:val="22"/>
          <w:szCs w:val="22"/>
        </w:rPr>
        <w:t xml:space="preserve"> = 690 </w:t>
      </w:r>
      <w:proofErr w:type="spellStart"/>
      <w:r>
        <w:rPr>
          <w:sz w:val="22"/>
          <w:szCs w:val="22"/>
        </w:rPr>
        <w:t>daN</w:t>
      </w:r>
      <w:proofErr w:type="spellEnd"/>
      <w:r>
        <w:rPr>
          <w:sz w:val="22"/>
          <w:szCs w:val="22"/>
        </w:rPr>
        <w:t xml:space="preserve">)ist somit der Wankfaktor de Facto </w:t>
      </w:r>
      <w:r w:rsidR="006313A3">
        <w:rPr>
          <w:sz w:val="22"/>
          <w:szCs w:val="22"/>
        </w:rPr>
        <w:t>eliminiert</w:t>
      </w:r>
      <w:r>
        <w:rPr>
          <w:sz w:val="22"/>
          <w:szCs w:val="22"/>
        </w:rPr>
        <w:t>.</w:t>
      </w:r>
    </w:p>
    <w:p w:rsidR="001D216C" w:rsidRDefault="001D216C" w:rsidP="00A704A0">
      <w:pPr>
        <w:pStyle w:val="Default"/>
        <w:tabs>
          <w:tab w:val="left" w:pos="1134"/>
        </w:tabs>
        <w:spacing w:line="360" w:lineRule="auto"/>
        <w:ind w:left="1134"/>
        <w:contextualSpacing/>
        <w:jc w:val="both"/>
        <w:rPr>
          <w:sz w:val="22"/>
          <w:szCs w:val="22"/>
        </w:rPr>
      </w:pPr>
    </w:p>
    <w:p w:rsidR="001D216C" w:rsidRDefault="001D216C" w:rsidP="00A704A0">
      <w:pPr>
        <w:pStyle w:val="Default"/>
        <w:tabs>
          <w:tab w:val="left" w:pos="1134"/>
        </w:tabs>
        <w:spacing w:line="360" w:lineRule="auto"/>
        <w:ind w:left="770" w:hanging="224"/>
        <w:contextualSpacing/>
        <w:rPr>
          <w:rFonts w:ascii="Times New Roman" w:hAnsi="Times New Roman" w:cs="Times New Roman"/>
          <w:b/>
          <w:bCs/>
          <w:i/>
          <w:sz w:val="22"/>
          <w:szCs w:val="22"/>
        </w:rPr>
      </w:pPr>
      <w:r w:rsidRPr="001D216C">
        <w:rPr>
          <w:rFonts w:ascii="Times New Roman" w:hAnsi="Times New Roman" w:cs="Times New Roman"/>
          <w:b/>
          <w:bCs/>
          <w:i/>
          <w:sz w:val="22"/>
          <w:szCs w:val="22"/>
        </w:rPr>
        <w:t>d) verwendet als Berechnungsgrundlage nicht mehr die Gleitreibung zur</w:t>
      </w:r>
      <w:r>
        <w:rPr>
          <w:rFonts w:ascii="Times New Roman" w:hAnsi="Times New Roman" w:cs="Times New Roman"/>
          <w:b/>
          <w:bCs/>
          <w:i/>
          <w:sz w:val="22"/>
          <w:szCs w:val="22"/>
        </w:rPr>
        <w:t xml:space="preserve"> </w:t>
      </w:r>
      <w:r w:rsidRPr="001D216C">
        <w:rPr>
          <w:rFonts w:ascii="Times New Roman" w:hAnsi="Times New Roman" w:cs="Times New Roman"/>
          <w:b/>
          <w:bCs/>
          <w:i/>
          <w:sz w:val="22"/>
          <w:szCs w:val="22"/>
        </w:rPr>
        <w:t>Berücksichtigung der Dynamik bei Trans</w:t>
      </w:r>
      <w:r>
        <w:rPr>
          <w:rFonts w:ascii="Times New Roman" w:hAnsi="Times New Roman" w:cs="Times New Roman"/>
          <w:b/>
          <w:bCs/>
          <w:i/>
          <w:sz w:val="22"/>
          <w:szCs w:val="22"/>
        </w:rPr>
        <w:t>portvorgängen, sondern Reibungs</w:t>
      </w:r>
      <w:r w:rsidRPr="001D216C">
        <w:rPr>
          <w:rFonts w:ascii="Times New Roman" w:hAnsi="Times New Roman" w:cs="Times New Roman"/>
          <w:b/>
          <w:bCs/>
          <w:i/>
          <w:sz w:val="22"/>
          <w:szCs w:val="22"/>
        </w:rPr>
        <w:t>werte ohne verifizierten Bezug</w:t>
      </w:r>
    </w:p>
    <w:p w:rsidR="00A704A0" w:rsidRPr="001D216C" w:rsidRDefault="00A704A0" w:rsidP="00A704A0">
      <w:pPr>
        <w:pStyle w:val="Default"/>
        <w:tabs>
          <w:tab w:val="left" w:pos="1134"/>
        </w:tabs>
        <w:spacing w:line="360" w:lineRule="auto"/>
        <w:ind w:left="770" w:hanging="224"/>
        <w:contextualSpacing/>
        <w:rPr>
          <w:rFonts w:ascii="Times New Roman" w:hAnsi="Times New Roman" w:cs="Times New Roman"/>
          <w:b/>
          <w:bCs/>
          <w:i/>
          <w:sz w:val="22"/>
          <w:szCs w:val="22"/>
        </w:rPr>
      </w:pPr>
    </w:p>
    <w:p w:rsidR="001D216C" w:rsidRDefault="001D216C" w:rsidP="00A704A0">
      <w:pPr>
        <w:pStyle w:val="Default"/>
        <w:tabs>
          <w:tab w:val="left" w:pos="1134"/>
        </w:tabs>
        <w:spacing w:line="360" w:lineRule="auto"/>
        <w:ind w:left="1134"/>
        <w:contextualSpacing/>
        <w:jc w:val="both"/>
        <w:rPr>
          <w:sz w:val="22"/>
          <w:szCs w:val="22"/>
        </w:rPr>
      </w:pPr>
      <w:r>
        <w:rPr>
          <w:sz w:val="22"/>
          <w:szCs w:val="22"/>
        </w:rPr>
        <w:t>Diesen Punkt kann man mit Fug und Recht als den Hauptstreitpunkt bei der Ei</w:t>
      </w:r>
      <w:r>
        <w:rPr>
          <w:sz w:val="22"/>
          <w:szCs w:val="22"/>
        </w:rPr>
        <w:t>n</w:t>
      </w:r>
      <w:r>
        <w:rPr>
          <w:sz w:val="22"/>
          <w:szCs w:val="22"/>
        </w:rPr>
        <w:t>führung der neuen Norm bezeichnen. Wurde bisher bei der Reibung in Haftre</w:t>
      </w:r>
      <w:r>
        <w:rPr>
          <w:sz w:val="22"/>
          <w:szCs w:val="22"/>
        </w:rPr>
        <w:t>i</w:t>
      </w:r>
      <w:r>
        <w:rPr>
          <w:sz w:val="22"/>
          <w:szCs w:val="22"/>
        </w:rPr>
        <w:t>bung (µ</w:t>
      </w:r>
      <w:r w:rsidRPr="001D216C">
        <w:rPr>
          <w:b/>
          <w:sz w:val="22"/>
          <w:szCs w:val="22"/>
          <w:vertAlign w:val="subscript"/>
        </w:rPr>
        <w:t>S</w:t>
      </w:r>
      <w:r>
        <w:rPr>
          <w:sz w:val="22"/>
          <w:szCs w:val="22"/>
        </w:rPr>
        <w:t>) und Gleitreibung (µ</w:t>
      </w:r>
      <w:r w:rsidRPr="001D216C">
        <w:rPr>
          <w:b/>
          <w:sz w:val="22"/>
          <w:szCs w:val="22"/>
          <w:vertAlign w:val="subscript"/>
        </w:rPr>
        <w:t>D</w:t>
      </w:r>
      <w:r>
        <w:rPr>
          <w:sz w:val="22"/>
          <w:szCs w:val="22"/>
        </w:rPr>
        <w:t xml:space="preserve">) unterschieden so kommt jetzt tatsächlich ein </w:t>
      </w:r>
      <w:r w:rsidR="00B124DE">
        <w:rPr>
          <w:sz w:val="22"/>
          <w:szCs w:val="22"/>
        </w:rPr>
        <w:t>b</w:t>
      </w:r>
      <w:r w:rsidR="00B124DE">
        <w:rPr>
          <w:sz w:val="22"/>
          <w:szCs w:val="22"/>
        </w:rPr>
        <w:t>e</w:t>
      </w:r>
      <w:r w:rsidR="00B124DE">
        <w:rPr>
          <w:sz w:val="22"/>
          <w:szCs w:val="22"/>
        </w:rPr>
        <w:t>rechneter Wert aus Haft- und Gleitreibung (µ) zum Einsatz. In der Vergangenheit wurde in den meisten europäischen Ländern aus Sicherheitsgründen mit dem niedrigeren Gleitreibwert gerechnet. Damit wurden fahrdynamische Bewegungen (Vibrationen, Wanken bei Kurvenfahrt, Nicken beim Bremsen und Verwindung der Ladefläche bei Bodenunebenheiten) in der Berechnung berücksichtigt. In Schweden wurde zwar mit Haftreibung aber zum Ausgleich mit einer Bremsve</w:t>
      </w:r>
      <w:r w:rsidR="00B124DE">
        <w:rPr>
          <w:sz w:val="22"/>
          <w:szCs w:val="22"/>
        </w:rPr>
        <w:t>r</w:t>
      </w:r>
      <w:r w:rsidR="00B124DE">
        <w:rPr>
          <w:sz w:val="22"/>
          <w:szCs w:val="22"/>
        </w:rPr>
        <w:t>zögerung von 1,0g</w:t>
      </w:r>
      <w:r w:rsidR="00A704A0">
        <w:rPr>
          <w:sz w:val="22"/>
          <w:szCs w:val="22"/>
        </w:rPr>
        <w:t xml:space="preserve"> an Stelle von 0,8g </w:t>
      </w:r>
      <w:r w:rsidR="00B124DE">
        <w:rPr>
          <w:sz w:val="22"/>
          <w:szCs w:val="22"/>
        </w:rPr>
        <w:t>gerechnet. Die neuen Reibwerte haben j</w:t>
      </w:r>
      <w:r w:rsidR="00B124DE">
        <w:rPr>
          <w:sz w:val="22"/>
          <w:szCs w:val="22"/>
        </w:rPr>
        <w:t>e</w:t>
      </w:r>
      <w:r w:rsidR="00B124DE">
        <w:rPr>
          <w:sz w:val="22"/>
          <w:szCs w:val="22"/>
        </w:rPr>
        <w:t>doch keinen verifizierbaren Bezug mehr, sie sind u.a. bei der Durchführung von Verpackungstest (Kippversuch ohne dynamische Bewegungen) ermittelt worden. Außerdem wurden hier ganz massiv wirtschaftlich Interessen durchgesetzt.</w:t>
      </w:r>
      <w:r w:rsidR="004A7912">
        <w:rPr>
          <w:sz w:val="22"/>
          <w:szCs w:val="22"/>
        </w:rPr>
        <w:t xml:space="preserve"> In der alten Norm wurde z.B. die Materialpaarung „Europalette auf Siebdruckboden“ mit einem Gleitreibbeiwert (µ</w:t>
      </w:r>
      <w:r w:rsidR="004A7912" w:rsidRPr="004A7912">
        <w:rPr>
          <w:b/>
          <w:sz w:val="22"/>
          <w:szCs w:val="22"/>
          <w:vertAlign w:val="subscript"/>
        </w:rPr>
        <w:t>D</w:t>
      </w:r>
      <w:r w:rsidR="004A7912">
        <w:rPr>
          <w:sz w:val="22"/>
          <w:szCs w:val="22"/>
        </w:rPr>
        <w:t>) von 0,25 angegeben. In der entsprechenden Tabelle im Anhang B der Neufassung findet sich ein Reibwert (µ) von 0,45 für die Mater</w:t>
      </w:r>
      <w:r w:rsidR="004A7912">
        <w:rPr>
          <w:sz w:val="22"/>
          <w:szCs w:val="22"/>
        </w:rPr>
        <w:t>i</w:t>
      </w:r>
      <w:r w:rsidR="004A7912">
        <w:rPr>
          <w:sz w:val="22"/>
          <w:szCs w:val="22"/>
        </w:rPr>
        <w:t>alpaarungen „Schnittholz auf Schichtholz“ und „Stahlkiste auf Schichtholz“. Die Verwendung dieses hohen Reibwertes stellt tatsächlich eine erhebliche Reduzi</w:t>
      </w:r>
      <w:r w:rsidR="004A7912">
        <w:rPr>
          <w:sz w:val="22"/>
          <w:szCs w:val="22"/>
        </w:rPr>
        <w:t>e</w:t>
      </w:r>
      <w:r w:rsidR="004A7912">
        <w:rPr>
          <w:sz w:val="22"/>
          <w:szCs w:val="22"/>
        </w:rPr>
        <w:t>rung des in Deutschland vorhandenen Sicherheitsniveaus dar. Zu beachten ist auch die Tatsache der Anhang B, der die Reibwerttabelle enthält, früher nur „i</w:t>
      </w:r>
      <w:r w:rsidR="004A7912">
        <w:rPr>
          <w:sz w:val="22"/>
          <w:szCs w:val="22"/>
        </w:rPr>
        <w:t>n</w:t>
      </w:r>
      <w:r w:rsidR="004A7912">
        <w:rPr>
          <w:sz w:val="22"/>
          <w:szCs w:val="22"/>
        </w:rPr>
        <w:t>formativ“ war, heute jedoch den Zusatz „normativ“ trägt. Das bedeutet, die Rei</w:t>
      </w:r>
      <w:r w:rsidR="004A7912">
        <w:rPr>
          <w:sz w:val="22"/>
          <w:szCs w:val="22"/>
        </w:rPr>
        <w:t>b</w:t>
      </w:r>
      <w:r w:rsidR="004A7912">
        <w:rPr>
          <w:sz w:val="22"/>
          <w:szCs w:val="22"/>
        </w:rPr>
        <w:t xml:space="preserve">werttabelle ist Bestandteil der Norm. Wendet man die Norm an, ist die Tabelle verpflichtend anzuwenden. Deshalb sollte man hier genau lesen. Denn es wird explizit darauf verwiesen, dass die </w:t>
      </w:r>
      <w:r w:rsidR="00C16F8E">
        <w:rPr>
          <w:sz w:val="22"/>
          <w:szCs w:val="22"/>
        </w:rPr>
        <w:t>verwendet Reibwerte für den tatsächlichen Transport geeignet sind. Sind die Berührungsflächen nicht besenrein (und davon ist in der Regel immer auszugehen) sowie frei von Öl, Fett, Eis und Frost beträgt der anzusetzende Reibwert maximal µ = 0,2. Außerdem ist für einen Kontrollb</w:t>
      </w:r>
      <w:r w:rsidR="00C16F8E">
        <w:rPr>
          <w:sz w:val="22"/>
          <w:szCs w:val="22"/>
        </w:rPr>
        <w:t>e</w:t>
      </w:r>
      <w:r w:rsidR="00C16F8E">
        <w:rPr>
          <w:sz w:val="22"/>
          <w:szCs w:val="22"/>
        </w:rPr>
        <w:t xml:space="preserve">amten sehr schwer überprüfbar ob tatsächlich alle Paletten (Schnittholz) </w:t>
      </w:r>
      <w:r w:rsidR="00A704A0">
        <w:rPr>
          <w:sz w:val="22"/>
          <w:szCs w:val="22"/>
        </w:rPr>
        <w:t xml:space="preserve">einer Komplettladung </w:t>
      </w:r>
      <w:r w:rsidR="00C16F8E">
        <w:rPr>
          <w:sz w:val="22"/>
          <w:szCs w:val="22"/>
        </w:rPr>
        <w:t xml:space="preserve">aus gesägten Hölzern oder </w:t>
      </w:r>
      <w:r w:rsidR="00A704A0">
        <w:rPr>
          <w:sz w:val="22"/>
          <w:szCs w:val="22"/>
        </w:rPr>
        <w:t xml:space="preserve">auch </w:t>
      </w:r>
      <w:r w:rsidR="00C16F8E">
        <w:rPr>
          <w:sz w:val="22"/>
          <w:szCs w:val="22"/>
        </w:rPr>
        <w:t>aus gehobelten Brettern best</w:t>
      </w:r>
      <w:r w:rsidR="00C16F8E">
        <w:rPr>
          <w:sz w:val="22"/>
          <w:szCs w:val="22"/>
        </w:rPr>
        <w:t>e</w:t>
      </w:r>
      <w:r w:rsidR="00C16F8E">
        <w:rPr>
          <w:sz w:val="22"/>
          <w:szCs w:val="22"/>
        </w:rPr>
        <w:lastRenderedPageBreak/>
        <w:t>hen. Im Zweifelsfall sollte deswegen der Reibwert für die Materialpaarung „H</w:t>
      </w:r>
      <w:r w:rsidR="00C16F8E">
        <w:rPr>
          <w:sz w:val="22"/>
          <w:szCs w:val="22"/>
        </w:rPr>
        <w:t>o</w:t>
      </w:r>
      <w:r w:rsidR="00C16F8E">
        <w:rPr>
          <w:sz w:val="22"/>
          <w:szCs w:val="22"/>
        </w:rPr>
        <w:t>belholz auf Schichtholz“ zu Grund gelegt werden. Und dieser Wert beträgt auch bei besenreiner, trockener Ladefläche nach der neuen Norm µ=0,3. Ein Wert mit dem auch in der bisherigen Kontrollpraxis in Deutschland bei Materialpaarung Holz/Holz meistens gerechnet wurde. Problematisch sind auch die eindeutigen Formulierungsfehler, die in der neuen Norm gemacht wurden. So steht auch im Originaltext das französische Wort für Stahlkiste und nicht etwa Gitterbox oder Metallbehälter. Bei den reibwerterhöhenden Unterlagen (Rutschhemmende Ma</w:t>
      </w:r>
      <w:r w:rsidR="00C16F8E">
        <w:rPr>
          <w:sz w:val="22"/>
          <w:szCs w:val="22"/>
        </w:rPr>
        <w:t>t</w:t>
      </w:r>
      <w:r w:rsidR="00C16F8E">
        <w:rPr>
          <w:sz w:val="22"/>
          <w:szCs w:val="22"/>
        </w:rPr>
        <w:t>ten) wird ein Reibwert µ=0,6 bei Gummiwerkstoffen angegeben. Für andere Werkstoffe ist eine Bescheinigung des Herstellers über die tatsächlichen Rei</w:t>
      </w:r>
      <w:r w:rsidR="00C16F8E">
        <w:rPr>
          <w:sz w:val="22"/>
          <w:szCs w:val="22"/>
        </w:rPr>
        <w:t>b</w:t>
      </w:r>
      <w:r w:rsidR="00C16F8E">
        <w:rPr>
          <w:sz w:val="22"/>
          <w:szCs w:val="22"/>
        </w:rPr>
        <w:t>werte erforderlich</w:t>
      </w:r>
      <w:r w:rsidR="00557584">
        <w:rPr>
          <w:sz w:val="22"/>
          <w:szCs w:val="22"/>
        </w:rPr>
        <w:t>. In der Fußnote dazu sind es dann „besondere Werkstoffe“. O</w:t>
      </w:r>
      <w:r w:rsidR="00557584">
        <w:rPr>
          <w:sz w:val="22"/>
          <w:szCs w:val="22"/>
        </w:rPr>
        <w:t>f</w:t>
      </w:r>
      <w:r w:rsidR="00557584">
        <w:rPr>
          <w:sz w:val="22"/>
          <w:szCs w:val="22"/>
        </w:rPr>
        <w:t>fen lässt die Norm wie zu verfahren ist, wenn ein Hersteller für einen Gumm</w:t>
      </w:r>
      <w:r w:rsidR="00557584">
        <w:rPr>
          <w:sz w:val="22"/>
          <w:szCs w:val="22"/>
        </w:rPr>
        <w:t>i</w:t>
      </w:r>
      <w:r w:rsidR="00557584">
        <w:rPr>
          <w:sz w:val="22"/>
          <w:szCs w:val="22"/>
        </w:rPr>
        <w:t>werkstoff einen Wert von µ&gt;0,6 angibt. Ein weiterer Kritikpunkt ist, dass der U</w:t>
      </w:r>
      <w:r w:rsidR="00557584">
        <w:rPr>
          <w:sz w:val="22"/>
          <w:szCs w:val="22"/>
        </w:rPr>
        <w:t>m</w:t>
      </w:r>
      <w:r w:rsidR="00557584">
        <w:rPr>
          <w:sz w:val="22"/>
          <w:szCs w:val="22"/>
        </w:rPr>
        <w:t>rechnungsfaktor (</w:t>
      </w:r>
      <w:r w:rsidR="00557584">
        <w:rPr>
          <w:sz w:val="22"/>
          <w:szCs w:val="22"/>
        </w:rPr>
        <w:sym w:font="Symbol" w:char="F0A6"/>
      </w:r>
      <w:r w:rsidR="00557584" w:rsidRPr="00557584">
        <w:rPr>
          <w:b/>
          <w:sz w:val="22"/>
          <w:szCs w:val="22"/>
          <w:vertAlign w:val="subscript"/>
        </w:rPr>
        <w:t>µ</w:t>
      </w:r>
      <w:r w:rsidR="00557584">
        <w:rPr>
          <w:sz w:val="22"/>
          <w:szCs w:val="22"/>
        </w:rPr>
        <w:t>) von 0,75 beim Direktzurren nicht verwendet wird wenn rutschhemmende Matten eingesetzt werden. Do</w:t>
      </w:r>
      <w:r w:rsidR="00FB19A0">
        <w:rPr>
          <w:sz w:val="22"/>
          <w:szCs w:val="22"/>
        </w:rPr>
        <w:t>ch</w:t>
      </w:r>
      <w:r w:rsidR="00557584">
        <w:rPr>
          <w:sz w:val="22"/>
          <w:szCs w:val="22"/>
        </w:rPr>
        <w:t xml:space="preserve"> dazu später mehr.</w:t>
      </w:r>
      <w:r w:rsidR="00FB19A0">
        <w:rPr>
          <w:sz w:val="22"/>
          <w:szCs w:val="22"/>
        </w:rPr>
        <w:t xml:space="preserve"> Merkwü</w:t>
      </w:r>
      <w:r w:rsidR="00FB19A0">
        <w:rPr>
          <w:sz w:val="22"/>
          <w:szCs w:val="22"/>
        </w:rPr>
        <w:t>r</w:t>
      </w:r>
      <w:r w:rsidR="00FB19A0">
        <w:rPr>
          <w:sz w:val="22"/>
          <w:szCs w:val="22"/>
        </w:rPr>
        <w:t>dig ist, dass die diese hohen Reibwerte zwar viele Kritiker finden aber umgekehrt ständig neue Zertifikate für reibwerterhöhende Unterlagen oder sogar für Lad</w:t>
      </w:r>
      <w:r w:rsidR="00FB19A0">
        <w:rPr>
          <w:sz w:val="22"/>
          <w:szCs w:val="22"/>
        </w:rPr>
        <w:t>e</w:t>
      </w:r>
      <w:r w:rsidR="00FB19A0">
        <w:rPr>
          <w:sz w:val="22"/>
          <w:szCs w:val="22"/>
        </w:rPr>
        <w:t>flächen vom Hersteller ausgegeben werden, die die Werte der DIN 12195-1:2010 bei weitem übersteigen.</w:t>
      </w:r>
    </w:p>
    <w:p w:rsidR="00557584" w:rsidRDefault="00557584" w:rsidP="00A704A0">
      <w:pPr>
        <w:pStyle w:val="Default"/>
        <w:tabs>
          <w:tab w:val="left" w:pos="1134"/>
        </w:tabs>
        <w:spacing w:line="360" w:lineRule="auto"/>
        <w:ind w:left="1134"/>
        <w:contextualSpacing/>
        <w:jc w:val="both"/>
        <w:rPr>
          <w:sz w:val="22"/>
          <w:szCs w:val="22"/>
        </w:rPr>
      </w:pPr>
    </w:p>
    <w:p w:rsidR="00557584" w:rsidRDefault="00557584" w:rsidP="00A704A0">
      <w:pPr>
        <w:pStyle w:val="Default"/>
        <w:tabs>
          <w:tab w:val="left" w:pos="1134"/>
        </w:tabs>
        <w:spacing w:line="360" w:lineRule="auto"/>
        <w:ind w:left="784" w:hanging="217"/>
        <w:contextualSpacing/>
        <w:rPr>
          <w:b/>
          <w:bCs/>
        </w:rPr>
      </w:pPr>
      <w:r w:rsidRPr="00557584">
        <w:rPr>
          <w:rFonts w:ascii="Times New Roman" w:hAnsi="Times New Roman" w:cs="Times New Roman"/>
          <w:b/>
          <w:bCs/>
          <w:i/>
          <w:sz w:val="22"/>
          <w:szCs w:val="22"/>
        </w:rPr>
        <w:t>e) enthält einen neuen Umrechnungsfaktor f</w:t>
      </w:r>
      <w:r w:rsidRPr="00557584">
        <w:rPr>
          <w:rFonts w:ascii="Times New Roman" w:hAnsi="Times New Roman" w:cs="Times New Roman"/>
          <w:b/>
          <w:bCs/>
          <w:i/>
          <w:sz w:val="22"/>
          <w:szCs w:val="22"/>
          <w:vertAlign w:val="subscript"/>
        </w:rPr>
        <w:t>µ</w:t>
      </w:r>
      <w:r w:rsidRPr="00557584">
        <w:rPr>
          <w:rFonts w:ascii="Times New Roman" w:hAnsi="Times New Roman" w:cs="Times New Roman"/>
          <w:b/>
          <w:bCs/>
          <w:i/>
          <w:sz w:val="22"/>
          <w:szCs w:val="22"/>
        </w:rPr>
        <w:t xml:space="preserve"> zur Berücksichtigung von Dynamik</w:t>
      </w:r>
      <w:r>
        <w:rPr>
          <w:rFonts w:ascii="Times New Roman" w:hAnsi="Times New Roman" w:cs="Times New Roman"/>
          <w:b/>
          <w:bCs/>
          <w:i/>
          <w:sz w:val="22"/>
          <w:szCs w:val="22"/>
        </w:rPr>
        <w:t xml:space="preserve"> </w:t>
      </w:r>
      <w:r w:rsidRPr="00557584">
        <w:rPr>
          <w:rFonts w:ascii="Times New Roman" w:hAnsi="Times New Roman" w:cs="Times New Roman"/>
          <w:b/>
          <w:bCs/>
          <w:i/>
          <w:sz w:val="22"/>
          <w:szCs w:val="22"/>
        </w:rPr>
        <w:t>au</w:t>
      </w:r>
      <w:r w:rsidRPr="00557584">
        <w:rPr>
          <w:rFonts w:ascii="Times New Roman" w:hAnsi="Times New Roman" w:cs="Times New Roman"/>
          <w:b/>
          <w:bCs/>
          <w:i/>
          <w:sz w:val="22"/>
          <w:szCs w:val="22"/>
        </w:rPr>
        <w:t>s</w:t>
      </w:r>
      <w:r w:rsidRPr="00557584">
        <w:rPr>
          <w:rFonts w:ascii="Times New Roman" w:hAnsi="Times New Roman" w:cs="Times New Roman"/>
          <w:b/>
          <w:bCs/>
          <w:i/>
          <w:sz w:val="22"/>
          <w:szCs w:val="22"/>
        </w:rPr>
        <w:t>schließlich für das Direktzurren</w:t>
      </w:r>
      <w:r w:rsidRPr="00557584">
        <w:rPr>
          <w:b/>
          <w:bCs/>
        </w:rPr>
        <w:t xml:space="preserve"> </w:t>
      </w:r>
    </w:p>
    <w:p w:rsidR="00A704A0" w:rsidRPr="00557584" w:rsidRDefault="00A704A0" w:rsidP="00A704A0">
      <w:pPr>
        <w:pStyle w:val="Default"/>
        <w:tabs>
          <w:tab w:val="left" w:pos="1134"/>
        </w:tabs>
        <w:spacing w:line="360" w:lineRule="auto"/>
        <w:ind w:left="784" w:hanging="217"/>
        <w:contextualSpacing/>
      </w:pPr>
    </w:p>
    <w:p w:rsidR="00557584" w:rsidRDefault="00557584" w:rsidP="00A704A0">
      <w:pPr>
        <w:pStyle w:val="Default"/>
        <w:tabs>
          <w:tab w:val="left" w:pos="1134"/>
        </w:tabs>
        <w:spacing w:line="360" w:lineRule="auto"/>
        <w:ind w:left="1134"/>
        <w:contextualSpacing/>
        <w:jc w:val="both"/>
        <w:rPr>
          <w:sz w:val="22"/>
          <w:szCs w:val="22"/>
        </w:rPr>
      </w:pPr>
      <w:r>
        <w:rPr>
          <w:sz w:val="22"/>
          <w:szCs w:val="22"/>
        </w:rPr>
        <w:t>Beim Direktzurren wird der Reibbeiwert (µ) mit dem Faktor 0,75 (</w:t>
      </w:r>
      <w:r>
        <w:rPr>
          <w:sz w:val="22"/>
          <w:szCs w:val="22"/>
        </w:rPr>
        <w:sym w:font="Symbol" w:char="F0A6"/>
      </w:r>
      <w:r w:rsidRPr="00557584">
        <w:rPr>
          <w:b/>
          <w:sz w:val="22"/>
          <w:szCs w:val="22"/>
          <w:vertAlign w:val="subscript"/>
        </w:rPr>
        <w:t>µ</w:t>
      </w:r>
      <w:r>
        <w:rPr>
          <w:sz w:val="22"/>
          <w:szCs w:val="22"/>
        </w:rPr>
        <w:t xml:space="preserve">) multipliziert (µ * </w:t>
      </w:r>
      <w:r>
        <w:rPr>
          <w:sz w:val="22"/>
          <w:szCs w:val="22"/>
        </w:rPr>
        <w:sym w:font="Symbol" w:char="F0A6"/>
      </w:r>
      <w:r w:rsidRPr="00557584">
        <w:rPr>
          <w:b/>
          <w:sz w:val="22"/>
          <w:szCs w:val="22"/>
          <w:vertAlign w:val="subscript"/>
        </w:rPr>
        <w:t>µ</w:t>
      </w:r>
      <w:r>
        <w:rPr>
          <w:sz w:val="22"/>
          <w:szCs w:val="22"/>
        </w:rPr>
        <w:t>). Damit werden fahrdynamische Bewegungen des Fahrzeugs berücksic</w:t>
      </w:r>
      <w:r>
        <w:rPr>
          <w:sz w:val="22"/>
          <w:szCs w:val="22"/>
        </w:rPr>
        <w:t>h</w:t>
      </w:r>
      <w:r>
        <w:rPr>
          <w:sz w:val="22"/>
          <w:szCs w:val="22"/>
        </w:rPr>
        <w:t>tigt. Vor allen Dingen dann, wenn beim Direktzurren einer Ladung mit eine</w:t>
      </w:r>
      <w:r w:rsidR="0096129F">
        <w:rPr>
          <w:sz w:val="22"/>
          <w:szCs w:val="22"/>
        </w:rPr>
        <w:t>m</w:t>
      </w:r>
      <w:r>
        <w:rPr>
          <w:sz w:val="22"/>
          <w:szCs w:val="22"/>
        </w:rPr>
        <w:t xml:space="preserve"> sehr niedrigen </w:t>
      </w:r>
      <w:r w:rsidR="0096129F">
        <w:rPr>
          <w:sz w:val="22"/>
          <w:szCs w:val="22"/>
        </w:rPr>
        <w:t>Vertikalwinkel (</w:t>
      </w:r>
      <w:r>
        <w:rPr>
          <w:sz w:val="22"/>
          <w:szCs w:val="22"/>
        </w:rPr>
        <w:t>α</w:t>
      </w:r>
      <w:r w:rsidR="0096129F">
        <w:rPr>
          <w:sz w:val="22"/>
          <w:szCs w:val="22"/>
        </w:rPr>
        <w:t xml:space="preserve">) keine oder nur geringe vertikalen Kräfte durch das Zurrmittel aufgenommen werden. </w:t>
      </w:r>
      <w:r w:rsidR="00C944F6">
        <w:rPr>
          <w:sz w:val="22"/>
          <w:szCs w:val="22"/>
        </w:rPr>
        <w:t>Bedingt durch diesen Umrechnungsfaktor sind die aufzubringenden Sicherungskräfte nach der neuen Norm sogar deutlich h</w:t>
      </w:r>
      <w:r w:rsidR="00C944F6">
        <w:rPr>
          <w:sz w:val="22"/>
          <w:szCs w:val="22"/>
        </w:rPr>
        <w:t>ö</w:t>
      </w:r>
      <w:r w:rsidR="00C944F6">
        <w:rPr>
          <w:sz w:val="22"/>
          <w:szCs w:val="22"/>
        </w:rPr>
        <w:t>her als nach der Vorgängernorm. Voraussetzung dafür ist auch hier ein veran</w:t>
      </w:r>
      <w:r w:rsidR="00C944F6">
        <w:rPr>
          <w:sz w:val="22"/>
          <w:szCs w:val="22"/>
        </w:rPr>
        <w:t>t</w:t>
      </w:r>
      <w:r w:rsidR="00C944F6">
        <w:rPr>
          <w:sz w:val="22"/>
          <w:szCs w:val="22"/>
        </w:rPr>
        <w:t xml:space="preserve">wortungsvoller Umgang mit den Reibwerten (µ). </w:t>
      </w:r>
      <w:r w:rsidR="0096129F">
        <w:rPr>
          <w:sz w:val="22"/>
          <w:szCs w:val="22"/>
        </w:rPr>
        <w:t>Bei Verwendung rutschhe</w:t>
      </w:r>
      <w:r w:rsidR="0096129F">
        <w:rPr>
          <w:sz w:val="22"/>
          <w:szCs w:val="22"/>
        </w:rPr>
        <w:t>m</w:t>
      </w:r>
      <w:r w:rsidR="0096129F">
        <w:rPr>
          <w:sz w:val="22"/>
          <w:szCs w:val="22"/>
        </w:rPr>
        <w:t>mender Matten beträgt der Wert (</w:t>
      </w:r>
      <w:r w:rsidR="0096129F">
        <w:rPr>
          <w:sz w:val="22"/>
          <w:szCs w:val="22"/>
        </w:rPr>
        <w:sym w:font="Symbol" w:char="F0A6"/>
      </w:r>
      <w:r w:rsidR="0096129F" w:rsidRPr="00557584">
        <w:rPr>
          <w:b/>
          <w:sz w:val="22"/>
          <w:szCs w:val="22"/>
          <w:vertAlign w:val="subscript"/>
        </w:rPr>
        <w:t>µ</w:t>
      </w:r>
      <w:r w:rsidR="0096129F">
        <w:rPr>
          <w:sz w:val="22"/>
          <w:szCs w:val="22"/>
        </w:rPr>
        <w:t>) jedoch 1,0. Es gibt also bei RH-Matten keine Reduzierung des Reibbeiwertes. Und gerade hier zeigt die Praxis das genaue Gegenteil. Immer wieder berichten Fahrer, dass die RH-Matten bei Bewegungen des Fahrzeugs zwischen Ladefläche und Ladegut einfach herausrutschen.</w:t>
      </w:r>
    </w:p>
    <w:p w:rsidR="0096129F" w:rsidRDefault="0096129F" w:rsidP="00A704A0">
      <w:pPr>
        <w:pStyle w:val="Default"/>
        <w:tabs>
          <w:tab w:val="left" w:pos="1134"/>
        </w:tabs>
        <w:spacing w:line="360" w:lineRule="auto"/>
        <w:ind w:left="1134"/>
        <w:contextualSpacing/>
        <w:jc w:val="both"/>
        <w:rPr>
          <w:sz w:val="22"/>
          <w:szCs w:val="22"/>
        </w:rPr>
      </w:pPr>
    </w:p>
    <w:p w:rsidR="0096129F" w:rsidRDefault="0096129F" w:rsidP="00A704A0">
      <w:pPr>
        <w:pStyle w:val="Default"/>
        <w:tabs>
          <w:tab w:val="left" w:pos="1560"/>
        </w:tabs>
        <w:spacing w:line="360" w:lineRule="auto"/>
        <w:ind w:left="770" w:hanging="203"/>
        <w:contextualSpacing/>
        <w:rPr>
          <w:b/>
          <w:bCs/>
        </w:rPr>
      </w:pPr>
      <w:r w:rsidRPr="0096129F">
        <w:rPr>
          <w:rFonts w:ascii="Times New Roman" w:hAnsi="Times New Roman" w:cs="Times New Roman"/>
          <w:b/>
          <w:bCs/>
          <w:i/>
          <w:sz w:val="22"/>
          <w:szCs w:val="22"/>
        </w:rPr>
        <w:lastRenderedPageBreak/>
        <w:t>f)</w:t>
      </w:r>
      <w:r>
        <w:rPr>
          <w:rFonts w:ascii="Times New Roman" w:hAnsi="Times New Roman" w:cs="Times New Roman"/>
          <w:b/>
          <w:bCs/>
          <w:i/>
          <w:sz w:val="22"/>
          <w:szCs w:val="22"/>
        </w:rPr>
        <w:t xml:space="preserve"> </w:t>
      </w:r>
      <w:r w:rsidRPr="0096129F">
        <w:rPr>
          <w:rFonts w:ascii="Times New Roman" w:hAnsi="Times New Roman" w:cs="Times New Roman"/>
          <w:b/>
          <w:bCs/>
          <w:i/>
          <w:sz w:val="22"/>
          <w:szCs w:val="22"/>
        </w:rPr>
        <w:t>ermöglicht den Nachweis zur Ladungssicherung anhand eines statischen Kippversuches, der den dynamischen Einfluss nicht berücksichtigt</w:t>
      </w:r>
      <w:r w:rsidRPr="0096129F">
        <w:rPr>
          <w:b/>
          <w:bCs/>
        </w:rPr>
        <w:t xml:space="preserve">  </w:t>
      </w:r>
    </w:p>
    <w:p w:rsidR="00A704A0" w:rsidRPr="0096129F" w:rsidRDefault="00A704A0" w:rsidP="00A704A0">
      <w:pPr>
        <w:pStyle w:val="Default"/>
        <w:tabs>
          <w:tab w:val="left" w:pos="1560"/>
        </w:tabs>
        <w:spacing w:line="360" w:lineRule="auto"/>
        <w:ind w:left="770" w:hanging="203"/>
        <w:contextualSpacing/>
      </w:pPr>
    </w:p>
    <w:p w:rsidR="0096129F" w:rsidRDefault="0096129F" w:rsidP="00A704A0">
      <w:pPr>
        <w:pStyle w:val="Default"/>
        <w:tabs>
          <w:tab w:val="left" w:pos="1134"/>
        </w:tabs>
        <w:spacing w:line="360" w:lineRule="auto"/>
        <w:ind w:left="1134"/>
        <w:contextualSpacing/>
        <w:jc w:val="both"/>
        <w:rPr>
          <w:sz w:val="22"/>
          <w:szCs w:val="22"/>
        </w:rPr>
      </w:pPr>
      <w:r>
        <w:rPr>
          <w:sz w:val="22"/>
          <w:szCs w:val="22"/>
        </w:rPr>
        <w:t xml:space="preserve">Der Anhang D (normativ) gibt zwei Möglichkeiten zur </w:t>
      </w:r>
      <w:r w:rsidR="005279FC">
        <w:rPr>
          <w:sz w:val="22"/>
          <w:szCs w:val="22"/>
        </w:rPr>
        <w:t>Überprüfung der Ladungssicherung</w:t>
      </w:r>
      <w:r>
        <w:rPr>
          <w:sz w:val="22"/>
          <w:szCs w:val="22"/>
        </w:rPr>
        <w:t xml:space="preserve"> vor. </w:t>
      </w:r>
    </w:p>
    <w:p w:rsidR="006D6C65" w:rsidRDefault="006D6C65" w:rsidP="00A704A0">
      <w:pPr>
        <w:pStyle w:val="Default"/>
        <w:tabs>
          <w:tab w:val="left" w:pos="1701"/>
        </w:tabs>
        <w:spacing w:line="360" w:lineRule="auto"/>
        <w:ind w:left="1134"/>
        <w:contextualSpacing/>
        <w:jc w:val="both"/>
        <w:rPr>
          <w:sz w:val="22"/>
          <w:szCs w:val="22"/>
        </w:rPr>
      </w:pPr>
      <w:r>
        <w:rPr>
          <w:sz w:val="22"/>
          <w:szCs w:val="22"/>
        </w:rPr>
        <w:t>D1:</w:t>
      </w:r>
      <w:r>
        <w:rPr>
          <w:sz w:val="22"/>
          <w:szCs w:val="22"/>
        </w:rPr>
        <w:tab/>
        <w:t>Dynamische Fahrversuche gem. Anhang B4./B.5 der DIN EN 12642</w:t>
      </w:r>
    </w:p>
    <w:p w:rsidR="006D6C65" w:rsidRDefault="006D6C65" w:rsidP="00A704A0">
      <w:pPr>
        <w:pStyle w:val="Default"/>
        <w:tabs>
          <w:tab w:val="left" w:pos="1701"/>
        </w:tabs>
        <w:spacing w:line="360" w:lineRule="auto"/>
        <w:ind w:left="1134"/>
        <w:contextualSpacing/>
        <w:jc w:val="both"/>
        <w:rPr>
          <w:sz w:val="22"/>
          <w:szCs w:val="22"/>
        </w:rPr>
      </w:pPr>
      <w:r>
        <w:rPr>
          <w:sz w:val="22"/>
          <w:szCs w:val="22"/>
        </w:rPr>
        <w:t>D2:</w:t>
      </w:r>
      <w:r>
        <w:rPr>
          <w:sz w:val="22"/>
          <w:szCs w:val="22"/>
        </w:rPr>
        <w:tab/>
        <w:t>Neigungsprüfung</w:t>
      </w:r>
    </w:p>
    <w:p w:rsidR="0096129F" w:rsidRDefault="006D6C65" w:rsidP="00A704A0">
      <w:pPr>
        <w:pStyle w:val="Default"/>
        <w:tabs>
          <w:tab w:val="left" w:pos="1134"/>
        </w:tabs>
        <w:spacing w:line="360" w:lineRule="auto"/>
        <w:ind w:left="1134"/>
        <w:contextualSpacing/>
        <w:jc w:val="both"/>
        <w:rPr>
          <w:sz w:val="22"/>
          <w:szCs w:val="22"/>
        </w:rPr>
      </w:pPr>
      <w:r>
        <w:rPr>
          <w:sz w:val="22"/>
          <w:szCs w:val="22"/>
        </w:rPr>
        <w:t>Bei der Neigungsprüfung wird tatsächlich auf jegliche fahrdynamische Einwirkung verzichtet. Der Prüfwinkel, bis zu dem die Ladefläche geneigt werden muss ist in Abhängigkeit von der gewählten Zurrmethode zu berechnen. Das Prüfverfahren und die Dokumentation sind exakt vorgeschrieben und sehr aufwendig. Es reicht also keinesfalls aus mal eben auf einem Kipper-LKW einen Kippversuch durchz</w:t>
      </w:r>
      <w:r>
        <w:rPr>
          <w:sz w:val="22"/>
          <w:szCs w:val="22"/>
        </w:rPr>
        <w:t>u</w:t>
      </w:r>
      <w:r>
        <w:rPr>
          <w:sz w:val="22"/>
          <w:szCs w:val="22"/>
        </w:rPr>
        <w:t>führen. Man wird sehen ob diese Methode im praktischen Alltag Verwendung fi</w:t>
      </w:r>
      <w:r>
        <w:rPr>
          <w:sz w:val="22"/>
          <w:szCs w:val="22"/>
        </w:rPr>
        <w:t>n</w:t>
      </w:r>
      <w:r>
        <w:rPr>
          <w:sz w:val="22"/>
          <w:szCs w:val="22"/>
        </w:rPr>
        <w:t>det. Erwähnenswert dabei ist auch, dass viele derer, die am lautesten gegen die neue Norm wettern</w:t>
      </w:r>
      <w:r w:rsidR="00FB19A0">
        <w:rPr>
          <w:sz w:val="22"/>
          <w:szCs w:val="22"/>
        </w:rPr>
        <w:t>,</w:t>
      </w:r>
      <w:r>
        <w:rPr>
          <w:sz w:val="22"/>
          <w:szCs w:val="22"/>
        </w:rPr>
        <w:t xml:space="preserve"> seit Jahren genau diese Kippversuch</w:t>
      </w:r>
      <w:r w:rsidR="00FB19A0">
        <w:rPr>
          <w:sz w:val="22"/>
          <w:szCs w:val="22"/>
        </w:rPr>
        <w:t>e</w:t>
      </w:r>
      <w:r>
        <w:rPr>
          <w:sz w:val="22"/>
          <w:szCs w:val="22"/>
        </w:rPr>
        <w:t xml:space="preserve"> (ohne Dynamik) für ihre Verpackungen durchführen und die Ergebnisse wie selbstverständlich auf die Ladungssicherung übertragen.</w:t>
      </w:r>
    </w:p>
    <w:p w:rsidR="00FB19A0" w:rsidRDefault="00FB19A0" w:rsidP="00A704A0">
      <w:pPr>
        <w:pStyle w:val="Default"/>
        <w:tabs>
          <w:tab w:val="left" w:pos="1134"/>
        </w:tabs>
        <w:spacing w:line="360" w:lineRule="auto"/>
        <w:ind w:left="1134"/>
        <w:contextualSpacing/>
        <w:jc w:val="both"/>
        <w:rPr>
          <w:sz w:val="22"/>
          <w:szCs w:val="22"/>
        </w:rPr>
      </w:pPr>
    </w:p>
    <w:p w:rsidR="00FB19A0" w:rsidRDefault="00FB19A0" w:rsidP="00A704A0">
      <w:pPr>
        <w:pStyle w:val="Default"/>
        <w:tabs>
          <w:tab w:val="left" w:pos="1560"/>
        </w:tabs>
        <w:spacing w:line="360" w:lineRule="auto"/>
        <w:ind w:left="770" w:hanging="203"/>
        <w:contextualSpacing/>
        <w:rPr>
          <w:rFonts w:ascii="Times New Roman" w:hAnsi="Times New Roman" w:cs="Times New Roman"/>
          <w:b/>
          <w:bCs/>
          <w:i/>
          <w:sz w:val="22"/>
          <w:szCs w:val="22"/>
        </w:rPr>
      </w:pPr>
      <w:r w:rsidRPr="00FB19A0">
        <w:rPr>
          <w:rFonts w:ascii="Times New Roman" w:hAnsi="Times New Roman" w:cs="Times New Roman"/>
          <w:b/>
          <w:bCs/>
          <w:i/>
          <w:sz w:val="22"/>
          <w:szCs w:val="22"/>
        </w:rPr>
        <w:t xml:space="preserve">g) verwendet für verschiedene Einflussfaktoren Sicherheitsbeiwerte </w:t>
      </w:r>
      <w:proofErr w:type="spellStart"/>
      <w:r w:rsidRPr="00FB19A0">
        <w:rPr>
          <w:rFonts w:ascii="Times New Roman" w:hAnsi="Times New Roman" w:cs="Times New Roman"/>
          <w:b/>
          <w:bCs/>
          <w:i/>
          <w:sz w:val="22"/>
          <w:szCs w:val="22"/>
        </w:rPr>
        <w:t>f</w:t>
      </w:r>
      <w:r w:rsidRPr="00FB19A0">
        <w:rPr>
          <w:rFonts w:ascii="Times New Roman" w:hAnsi="Times New Roman" w:cs="Times New Roman"/>
          <w:b/>
          <w:bCs/>
          <w:i/>
          <w:sz w:val="22"/>
          <w:szCs w:val="22"/>
          <w:vertAlign w:val="subscript"/>
        </w:rPr>
        <w:t>S</w:t>
      </w:r>
      <w:proofErr w:type="spellEnd"/>
      <w:r w:rsidRPr="00FB19A0">
        <w:rPr>
          <w:rFonts w:ascii="Times New Roman" w:hAnsi="Times New Roman" w:cs="Times New Roman"/>
          <w:b/>
          <w:bCs/>
          <w:i/>
          <w:sz w:val="22"/>
          <w:szCs w:val="22"/>
        </w:rPr>
        <w:t xml:space="preserve"> = 1,1 bzw.  </w:t>
      </w:r>
      <w:proofErr w:type="spellStart"/>
      <w:r w:rsidRPr="00FB19A0">
        <w:rPr>
          <w:rFonts w:ascii="Times New Roman" w:hAnsi="Times New Roman" w:cs="Times New Roman"/>
          <w:b/>
          <w:bCs/>
          <w:i/>
          <w:sz w:val="22"/>
          <w:szCs w:val="22"/>
        </w:rPr>
        <w:t>f</w:t>
      </w:r>
      <w:r w:rsidRPr="00FB19A0">
        <w:rPr>
          <w:rFonts w:ascii="Times New Roman" w:hAnsi="Times New Roman" w:cs="Times New Roman"/>
          <w:b/>
          <w:bCs/>
          <w:i/>
          <w:sz w:val="22"/>
          <w:szCs w:val="22"/>
          <w:vertAlign w:val="subscript"/>
        </w:rPr>
        <w:t>S</w:t>
      </w:r>
      <w:proofErr w:type="spellEnd"/>
      <w:r w:rsidRPr="00FB19A0">
        <w:rPr>
          <w:rFonts w:ascii="Times New Roman" w:hAnsi="Times New Roman" w:cs="Times New Roman"/>
          <w:b/>
          <w:bCs/>
          <w:i/>
          <w:sz w:val="22"/>
          <w:szCs w:val="22"/>
        </w:rPr>
        <w:t xml:space="preserve"> =1,25 (in Abhängigkeit von der Sicherungsrichtung), die die bisher notwendigen</w:t>
      </w:r>
      <w:r>
        <w:rPr>
          <w:rFonts w:ascii="Times New Roman" w:hAnsi="Times New Roman" w:cs="Times New Roman"/>
          <w:b/>
          <w:bCs/>
          <w:i/>
          <w:sz w:val="22"/>
          <w:szCs w:val="22"/>
        </w:rPr>
        <w:t xml:space="preserve"> </w:t>
      </w:r>
      <w:r w:rsidRPr="00FB19A0">
        <w:rPr>
          <w:rFonts w:ascii="Times New Roman" w:hAnsi="Times New Roman" w:cs="Times New Roman"/>
          <w:b/>
          <w:bCs/>
          <w:i/>
          <w:sz w:val="22"/>
          <w:szCs w:val="22"/>
        </w:rPr>
        <w:t>Sicherheitsanford</w:t>
      </w:r>
      <w:r w:rsidRPr="00FB19A0">
        <w:rPr>
          <w:rFonts w:ascii="Times New Roman" w:hAnsi="Times New Roman" w:cs="Times New Roman"/>
          <w:b/>
          <w:bCs/>
          <w:i/>
          <w:sz w:val="22"/>
          <w:szCs w:val="22"/>
        </w:rPr>
        <w:t>e</w:t>
      </w:r>
      <w:r w:rsidRPr="00FB19A0">
        <w:rPr>
          <w:rFonts w:ascii="Times New Roman" w:hAnsi="Times New Roman" w:cs="Times New Roman"/>
          <w:b/>
          <w:bCs/>
          <w:i/>
          <w:sz w:val="22"/>
          <w:szCs w:val="22"/>
        </w:rPr>
        <w:t>rungen nicht erreichen.</w:t>
      </w:r>
    </w:p>
    <w:p w:rsidR="00A704A0" w:rsidRPr="00FB19A0" w:rsidRDefault="00A704A0" w:rsidP="00A704A0">
      <w:pPr>
        <w:pStyle w:val="Default"/>
        <w:tabs>
          <w:tab w:val="left" w:pos="1560"/>
        </w:tabs>
        <w:spacing w:line="360" w:lineRule="auto"/>
        <w:ind w:left="770" w:hanging="203"/>
        <w:contextualSpacing/>
        <w:rPr>
          <w:rFonts w:ascii="Times New Roman" w:hAnsi="Times New Roman" w:cs="Times New Roman"/>
          <w:b/>
          <w:bCs/>
          <w:i/>
          <w:sz w:val="22"/>
          <w:szCs w:val="22"/>
        </w:rPr>
      </w:pPr>
    </w:p>
    <w:p w:rsidR="00FB19A0" w:rsidRDefault="00FB19A0" w:rsidP="00A704A0">
      <w:pPr>
        <w:pStyle w:val="Default"/>
        <w:tabs>
          <w:tab w:val="left" w:pos="1134"/>
        </w:tabs>
        <w:spacing w:line="360" w:lineRule="auto"/>
        <w:ind w:left="1134"/>
        <w:contextualSpacing/>
        <w:jc w:val="both"/>
        <w:rPr>
          <w:sz w:val="22"/>
          <w:szCs w:val="22"/>
        </w:rPr>
      </w:pPr>
      <w:r>
        <w:rPr>
          <w:sz w:val="22"/>
          <w:szCs w:val="22"/>
        </w:rPr>
        <w:t>Im Entwurf der Norm war der Sicherheitsbeiwert (</w:t>
      </w:r>
      <w:r>
        <w:rPr>
          <w:sz w:val="22"/>
          <w:szCs w:val="22"/>
        </w:rPr>
        <w:sym w:font="Symbol" w:char="F0A6"/>
      </w:r>
      <w:r w:rsidRPr="00FB19A0">
        <w:rPr>
          <w:b/>
          <w:sz w:val="22"/>
          <w:szCs w:val="22"/>
          <w:vertAlign w:val="subscript"/>
        </w:rPr>
        <w:t>s</w:t>
      </w:r>
      <w:r>
        <w:rPr>
          <w:sz w:val="22"/>
          <w:szCs w:val="22"/>
        </w:rPr>
        <w:t xml:space="preserve">) noch in alle Richtungen mit 1,1 angegeben. Da jedoch ein Land Probleme mit der Umsetzung der neuen Norm anmelden musste (In diesem Land war die max. Bremsverzögerung durch ein Gesetz auf 1,0g festgelegt) entschloss man sich den Beiwert in Längsrichtung auf </w:t>
      </w:r>
      <w:r>
        <w:rPr>
          <w:sz w:val="22"/>
          <w:szCs w:val="22"/>
        </w:rPr>
        <w:sym w:font="Symbol" w:char="F0A6"/>
      </w:r>
      <w:r w:rsidRPr="00FB19A0">
        <w:rPr>
          <w:b/>
          <w:sz w:val="22"/>
          <w:szCs w:val="22"/>
          <w:vertAlign w:val="subscript"/>
        </w:rPr>
        <w:t>s</w:t>
      </w:r>
      <w:r>
        <w:rPr>
          <w:b/>
          <w:sz w:val="22"/>
          <w:szCs w:val="22"/>
          <w:vertAlign w:val="subscript"/>
        </w:rPr>
        <w:t xml:space="preserve"> </w:t>
      </w:r>
      <w:r>
        <w:rPr>
          <w:sz w:val="22"/>
          <w:szCs w:val="22"/>
        </w:rPr>
        <w:t>= 1,25 zu erhöhen, da 0,8g * 1,25 wieder 1,0g ergibt. Sinn dieses Beiwe</w:t>
      </w:r>
      <w:r>
        <w:rPr>
          <w:sz w:val="22"/>
          <w:szCs w:val="22"/>
        </w:rPr>
        <w:t>r</w:t>
      </w:r>
      <w:r>
        <w:rPr>
          <w:sz w:val="22"/>
          <w:szCs w:val="22"/>
        </w:rPr>
        <w:t>tes ist das nach der eigentlichen Berechnung der Vorspannkraft beim Niederzu</w:t>
      </w:r>
      <w:r>
        <w:rPr>
          <w:sz w:val="22"/>
          <w:szCs w:val="22"/>
        </w:rPr>
        <w:t>r</w:t>
      </w:r>
      <w:r>
        <w:rPr>
          <w:sz w:val="22"/>
          <w:szCs w:val="22"/>
        </w:rPr>
        <w:t>ren noch 10% bzw. 25% in Längsrichtung als zusätzliche Sicherung eing</w:t>
      </w:r>
      <w:r w:rsidR="00C944F6">
        <w:rPr>
          <w:sz w:val="22"/>
          <w:szCs w:val="22"/>
        </w:rPr>
        <w:t xml:space="preserve">erechnet werden. Dadurch wird der fehlende k-Faktor fast (nicht </w:t>
      </w:r>
      <w:r w:rsidR="005279FC">
        <w:rPr>
          <w:sz w:val="22"/>
          <w:szCs w:val="22"/>
        </w:rPr>
        <w:t>gänzlich</w:t>
      </w:r>
      <w:r w:rsidR="00C944F6">
        <w:rPr>
          <w:sz w:val="22"/>
          <w:szCs w:val="22"/>
        </w:rPr>
        <w:t xml:space="preserve">) ausgeglichen. Vergleicht man nun die DIN EN 12195-1:2010 mit der z.Zt. noch aktuellen VDI 2700 Blatt </w:t>
      </w:r>
      <w:proofErr w:type="gramStart"/>
      <w:r w:rsidR="00C944F6">
        <w:rPr>
          <w:sz w:val="22"/>
          <w:szCs w:val="22"/>
        </w:rPr>
        <w:t>2 :</w:t>
      </w:r>
      <w:proofErr w:type="gramEnd"/>
      <w:r w:rsidR="00C944F6">
        <w:rPr>
          <w:sz w:val="22"/>
          <w:szCs w:val="22"/>
        </w:rPr>
        <w:t xml:space="preserve"> 11/2002 und rechnet einheitlich mit dem Reibwert µ = 0,3 (die Mö</w:t>
      </w:r>
      <w:r w:rsidR="00C944F6">
        <w:rPr>
          <w:sz w:val="22"/>
          <w:szCs w:val="22"/>
        </w:rPr>
        <w:t>g</w:t>
      </w:r>
      <w:r w:rsidR="00C944F6">
        <w:rPr>
          <w:sz w:val="22"/>
          <w:szCs w:val="22"/>
        </w:rPr>
        <w:t xml:space="preserve">lichkeit dazu ist vorab ja schon beschrieben) wird man feststellen das die neue Norm sogar die höheren Sicherungskräfte fordert. Geht </w:t>
      </w:r>
      <w:r w:rsidR="005279FC">
        <w:rPr>
          <w:sz w:val="22"/>
          <w:szCs w:val="22"/>
        </w:rPr>
        <w:t xml:space="preserve">man </w:t>
      </w:r>
      <w:r w:rsidR="00C944F6">
        <w:rPr>
          <w:sz w:val="22"/>
          <w:szCs w:val="22"/>
        </w:rPr>
        <w:t>bei der VDI-Richtlinie auf einen Reibwert von µ</w:t>
      </w:r>
      <w:r w:rsidR="005279FC" w:rsidRPr="005279FC">
        <w:rPr>
          <w:sz w:val="22"/>
          <w:szCs w:val="22"/>
          <w:vertAlign w:val="subscript"/>
        </w:rPr>
        <w:t>D</w:t>
      </w:r>
      <w:r w:rsidR="005279FC">
        <w:rPr>
          <w:sz w:val="22"/>
          <w:szCs w:val="22"/>
        </w:rPr>
        <w:t xml:space="preserve"> </w:t>
      </w:r>
      <w:r w:rsidR="00C944F6">
        <w:rPr>
          <w:sz w:val="22"/>
          <w:szCs w:val="22"/>
        </w:rPr>
        <w:t>=</w:t>
      </w:r>
      <w:r w:rsidR="005279FC">
        <w:rPr>
          <w:sz w:val="22"/>
          <w:szCs w:val="22"/>
        </w:rPr>
        <w:t xml:space="preserve"> </w:t>
      </w:r>
      <w:r w:rsidR="00C944F6">
        <w:rPr>
          <w:sz w:val="22"/>
          <w:szCs w:val="22"/>
        </w:rPr>
        <w:t xml:space="preserve">0,25 runter verlangt die VDI-Richtlinie die höheren Sicherungskräfte. Die Unterschiede sind allerdings minimal. Dadurch, </w:t>
      </w:r>
      <w:r w:rsidR="00C944F6">
        <w:rPr>
          <w:sz w:val="22"/>
          <w:szCs w:val="22"/>
        </w:rPr>
        <w:lastRenderedPageBreak/>
        <w:t>dass in Längsrichtung der Sicherheitsbeiwert (</w:t>
      </w:r>
      <w:r w:rsidR="00C944F6">
        <w:rPr>
          <w:sz w:val="22"/>
          <w:szCs w:val="22"/>
        </w:rPr>
        <w:sym w:font="Symbol" w:char="F0A6"/>
      </w:r>
      <w:r w:rsidR="00C944F6" w:rsidRPr="00FB19A0">
        <w:rPr>
          <w:b/>
          <w:sz w:val="22"/>
          <w:szCs w:val="22"/>
          <w:vertAlign w:val="subscript"/>
        </w:rPr>
        <w:t>s</w:t>
      </w:r>
      <w:r w:rsidR="00C944F6">
        <w:rPr>
          <w:sz w:val="22"/>
          <w:szCs w:val="22"/>
        </w:rPr>
        <w:t>) auf 1,25 erhöht wurde ist also der fe</w:t>
      </w:r>
      <w:r w:rsidR="00C944F6">
        <w:rPr>
          <w:sz w:val="22"/>
          <w:szCs w:val="22"/>
        </w:rPr>
        <w:t>h</w:t>
      </w:r>
      <w:r w:rsidR="00C944F6">
        <w:rPr>
          <w:sz w:val="22"/>
          <w:szCs w:val="22"/>
        </w:rPr>
        <w:t>lende k-Faktor durchaus zu verschmerzen.</w:t>
      </w:r>
    </w:p>
    <w:p w:rsidR="00FB19A0" w:rsidRDefault="00FB19A0" w:rsidP="00A704A0">
      <w:pPr>
        <w:pStyle w:val="Default"/>
        <w:tabs>
          <w:tab w:val="left" w:pos="1134"/>
        </w:tabs>
        <w:spacing w:line="360" w:lineRule="auto"/>
        <w:ind w:left="1134"/>
        <w:contextualSpacing/>
        <w:jc w:val="both"/>
        <w:rPr>
          <w:sz w:val="22"/>
          <w:szCs w:val="22"/>
        </w:rPr>
      </w:pPr>
    </w:p>
    <w:p w:rsidR="00FB19A0" w:rsidRDefault="00FB19A0" w:rsidP="00A704A0">
      <w:pPr>
        <w:pStyle w:val="Default"/>
        <w:tabs>
          <w:tab w:val="left" w:pos="1701"/>
        </w:tabs>
        <w:spacing w:line="360" w:lineRule="auto"/>
        <w:contextualSpacing/>
        <w:jc w:val="both"/>
        <w:rPr>
          <w:sz w:val="22"/>
          <w:szCs w:val="22"/>
        </w:rPr>
      </w:pPr>
    </w:p>
    <w:p w:rsidR="00C944F6" w:rsidRDefault="00C944F6" w:rsidP="00A704A0">
      <w:pPr>
        <w:pStyle w:val="Default"/>
        <w:tabs>
          <w:tab w:val="left" w:pos="1701"/>
        </w:tabs>
        <w:spacing w:line="360" w:lineRule="auto"/>
        <w:contextualSpacing/>
        <w:jc w:val="both"/>
        <w:rPr>
          <w:sz w:val="22"/>
          <w:szCs w:val="22"/>
        </w:rPr>
      </w:pPr>
      <w:r>
        <w:rPr>
          <w:sz w:val="22"/>
          <w:szCs w:val="22"/>
        </w:rPr>
        <w:t>Fazit:</w:t>
      </w:r>
    </w:p>
    <w:p w:rsidR="00C944F6" w:rsidRDefault="00C944F6" w:rsidP="00A704A0">
      <w:pPr>
        <w:pStyle w:val="Default"/>
        <w:tabs>
          <w:tab w:val="left" w:pos="1701"/>
        </w:tabs>
        <w:spacing w:line="360" w:lineRule="auto"/>
        <w:contextualSpacing/>
        <w:jc w:val="both"/>
        <w:rPr>
          <w:sz w:val="22"/>
          <w:szCs w:val="22"/>
        </w:rPr>
      </w:pPr>
    </w:p>
    <w:p w:rsidR="00C944F6" w:rsidRDefault="00C944F6" w:rsidP="00A704A0">
      <w:pPr>
        <w:pStyle w:val="Default"/>
        <w:tabs>
          <w:tab w:val="left" w:pos="1701"/>
        </w:tabs>
        <w:spacing w:line="360" w:lineRule="auto"/>
        <w:contextualSpacing/>
        <w:jc w:val="both"/>
        <w:rPr>
          <w:sz w:val="22"/>
          <w:szCs w:val="22"/>
        </w:rPr>
      </w:pPr>
      <w:r>
        <w:rPr>
          <w:sz w:val="22"/>
          <w:szCs w:val="22"/>
        </w:rPr>
        <w:t>Die neue Norm ist als DIN EN 12195-1:2010 in Europa mehrheitlich angenommen und in einem demokratischen Verfahren beschlossen worden. Wie jede neu</w:t>
      </w:r>
      <w:r w:rsidR="00F31B09">
        <w:rPr>
          <w:sz w:val="22"/>
          <w:szCs w:val="22"/>
        </w:rPr>
        <w:t>e</w:t>
      </w:r>
      <w:r>
        <w:rPr>
          <w:sz w:val="22"/>
          <w:szCs w:val="22"/>
        </w:rPr>
        <w:t xml:space="preserve"> oder revidierte Norm enthält sie Fehler</w:t>
      </w:r>
      <w:r w:rsidR="00F31B09">
        <w:rPr>
          <w:sz w:val="22"/>
          <w:szCs w:val="22"/>
        </w:rPr>
        <w:t xml:space="preserve"> und ist auch auf der Basis wirtschaftlicher Interessen entstanden. Aber Normen und Richtlinien sind in diesem Fall keine Gesetze. Sie definieren einen minimalen Sicherheitsstandard und geben Lösungswege vor, wie dieser Standard zu erreichen ist. </w:t>
      </w:r>
      <w:r w:rsidR="00F9387B">
        <w:rPr>
          <w:sz w:val="22"/>
          <w:szCs w:val="22"/>
        </w:rPr>
        <w:t>Das vorrangige Ziel sollte jedoch nicht das wortgetreue Einhalten von Normen oder Richtlinien sein, sondern die Durchführung eines verkehrssichern Transportes</w:t>
      </w:r>
      <w:r w:rsidR="005279FC">
        <w:rPr>
          <w:sz w:val="22"/>
          <w:szCs w:val="22"/>
        </w:rPr>
        <w:t xml:space="preserve"> im Sinne der Paragr</w:t>
      </w:r>
      <w:r w:rsidR="005279FC">
        <w:rPr>
          <w:sz w:val="22"/>
          <w:szCs w:val="22"/>
        </w:rPr>
        <w:t>a</w:t>
      </w:r>
      <w:r w:rsidR="005279FC">
        <w:rPr>
          <w:sz w:val="22"/>
          <w:szCs w:val="22"/>
        </w:rPr>
        <w:t>phen §22 und §23 der StVO</w:t>
      </w:r>
      <w:r w:rsidR="00F9387B">
        <w:rPr>
          <w:sz w:val="22"/>
          <w:szCs w:val="22"/>
        </w:rPr>
        <w:t xml:space="preserve">. </w:t>
      </w:r>
      <w:r w:rsidR="00F31B09">
        <w:rPr>
          <w:sz w:val="22"/>
          <w:szCs w:val="22"/>
        </w:rPr>
        <w:t>Statt die neue Norm derart zu verteufeln wäre es vielleicht sinnvoller sich mit ihr auseinanderzusetzten und die Möglichkeiten, die Norm bietet, zu nu</w:t>
      </w:r>
      <w:r w:rsidR="00F31B09">
        <w:rPr>
          <w:sz w:val="22"/>
          <w:szCs w:val="22"/>
        </w:rPr>
        <w:t>t</w:t>
      </w:r>
      <w:r w:rsidR="00F31B09">
        <w:rPr>
          <w:sz w:val="22"/>
          <w:szCs w:val="22"/>
        </w:rPr>
        <w:t>zen um auch weiterhin einen sicheren Gütertransport zu gewährleisten. Deutschland ist ein wic</w:t>
      </w:r>
      <w:r w:rsidR="00F31B09">
        <w:rPr>
          <w:sz w:val="22"/>
          <w:szCs w:val="22"/>
        </w:rPr>
        <w:t>h</w:t>
      </w:r>
      <w:r w:rsidR="00F31B09">
        <w:rPr>
          <w:sz w:val="22"/>
          <w:szCs w:val="22"/>
        </w:rPr>
        <w:t xml:space="preserve">tiges Transitland. Es kann auf Dauer kein akzeptabler Zustand </w:t>
      </w:r>
      <w:r w:rsidR="00F9387B">
        <w:rPr>
          <w:sz w:val="22"/>
          <w:szCs w:val="22"/>
        </w:rPr>
        <w:t xml:space="preserve">sein </w:t>
      </w:r>
      <w:r w:rsidR="00F31B09">
        <w:rPr>
          <w:sz w:val="22"/>
          <w:szCs w:val="22"/>
        </w:rPr>
        <w:t>mit</w:t>
      </w:r>
      <w:r w:rsidR="00F9387B">
        <w:rPr>
          <w:sz w:val="22"/>
          <w:szCs w:val="22"/>
        </w:rPr>
        <w:t>ten in</w:t>
      </w:r>
      <w:r w:rsidR="00F31B09">
        <w:rPr>
          <w:sz w:val="22"/>
          <w:szCs w:val="22"/>
        </w:rPr>
        <w:t xml:space="preserve"> Europa eine Insell</w:t>
      </w:r>
      <w:r w:rsidR="00F31B09">
        <w:rPr>
          <w:sz w:val="22"/>
          <w:szCs w:val="22"/>
        </w:rPr>
        <w:t>ö</w:t>
      </w:r>
      <w:r w:rsidR="00F31B09">
        <w:rPr>
          <w:sz w:val="22"/>
          <w:szCs w:val="22"/>
        </w:rPr>
        <w:t xml:space="preserve">sung anzustreben. </w:t>
      </w:r>
      <w:r w:rsidR="00F9387B">
        <w:rPr>
          <w:sz w:val="22"/>
          <w:szCs w:val="22"/>
        </w:rPr>
        <w:t xml:space="preserve">Die Norm bietet trotz definitiver Fehler genug Spielraum </w:t>
      </w:r>
      <w:r w:rsidR="005279FC">
        <w:rPr>
          <w:sz w:val="22"/>
          <w:szCs w:val="22"/>
        </w:rPr>
        <w:t>für eine sichere Güterbeförderung auf unseren Straßen</w:t>
      </w:r>
      <w:r w:rsidR="00F9387B">
        <w:rPr>
          <w:sz w:val="22"/>
          <w:szCs w:val="22"/>
        </w:rPr>
        <w:t>. Bis dato hat zumindest noch niemand den Beweis angetreten das eine Ladung, die gem. den Vorgaben der DIN EN 12195.1:2010 gesichert ist nicht den Vorgaben des §22 der StVO genügt. Wichtig ist das die Rahmenb</w:t>
      </w:r>
      <w:r w:rsidR="00F9387B">
        <w:rPr>
          <w:sz w:val="22"/>
          <w:szCs w:val="22"/>
        </w:rPr>
        <w:t>e</w:t>
      </w:r>
      <w:r w:rsidR="00F9387B">
        <w:rPr>
          <w:sz w:val="22"/>
          <w:szCs w:val="22"/>
        </w:rPr>
        <w:t>dingung für den Transport realistisch betrachtet werden. Dies gilt besonders für die Festl</w:t>
      </w:r>
      <w:r w:rsidR="00F9387B">
        <w:rPr>
          <w:sz w:val="22"/>
          <w:szCs w:val="22"/>
        </w:rPr>
        <w:t>e</w:t>
      </w:r>
      <w:r w:rsidR="00F9387B">
        <w:rPr>
          <w:sz w:val="22"/>
          <w:szCs w:val="22"/>
        </w:rPr>
        <w:t>gung des Reibbeiwertes (µ). Eine Palette, gesägt oder gehobelt, wird wenn sie im Einsatz ist schnell glatt geschliffen. Sie steht auch mal auf verölten oder fettigen Ladeflächen. Eine L</w:t>
      </w:r>
      <w:r w:rsidR="00F9387B">
        <w:rPr>
          <w:sz w:val="22"/>
          <w:szCs w:val="22"/>
        </w:rPr>
        <w:t>a</w:t>
      </w:r>
      <w:r w:rsidR="00F9387B">
        <w:rPr>
          <w:sz w:val="22"/>
          <w:szCs w:val="22"/>
        </w:rPr>
        <w:t xml:space="preserve">defläche ist selten wirklich besenrein und frei von Fetten und Ölen. Die Bestimmung des Reibwertes </w:t>
      </w:r>
      <w:r w:rsidR="00BB6BE9">
        <w:rPr>
          <w:sz w:val="22"/>
          <w:szCs w:val="22"/>
        </w:rPr>
        <w:t xml:space="preserve">und die Beurteilung einer Ladungssicherung </w:t>
      </w:r>
      <w:r w:rsidR="00F9387B">
        <w:rPr>
          <w:sz w:val="22"/>
          <w:szCs w:val="22"/>
        </w:rPr>
        <w:t>erfordert Erfahrung und Fingerspi</w:t>
      </w:r>
      <w:r w:rsidR="00F9387B">
        <w:rPr>
          <w:sz w:val="22"/>
          <w:szCs w:val="22"/>
        </w:rPr>
        <w:t>t</w:t>
      </w:r>
      <w:r w:rsidR="00F9387B">
        <w:rPr>
          <w:sz w:val="22"/>
          <w:szCs w:val="22"/>
        </w:rPr>
        <w:t>zengefühl bei den veran</w:t>
      </w:r>
      <w:r w:rsidR="00F9387B">
        <w:rPr>
          <w:sz w:val="22"/>
          <w:szCs w:val="22"/>
        </w:rPr>
        <w:t>t</w:t>
      </w:r>
      <w:r w:rsidR="00F9387B">
        <w:rPr>
          <w:sz w:val="22"/>
          <w:szCs w:val="22"/>
        </w:rPr>
        <w:t>wortlichen Personen ebenso wie bei den Kontrollbeamten. Daran wird sich auch in Zukunft nichts ä</w:t>
      </w:r>
      <w:r w:rsidR="00F9387B">
        <w:rPr>
          <w:sz w:val="22"/>
          <w:szCs w:val="22"/>
        </w:rPr>
        <w:t>n</w:t>
      </w:r>
      <w:r w:rsidR="00F9387B">
        <w:rPr>
          <w:sz w:val="22"/>
          <w:szCs w:val="22"/>
        </w:rPr>
        <w:t xml:space="preserve">dern. </w:t>
      </w:r>
    </w:p>
    <w:p w:rsidR="00FB19A0" w:rsidRDefault="00FB19A0" w:rsidP="00A704A0">
      <w:pPr>
        <w:pStyle w:val="Default"/>
        <w:tabs>
          <w:tab w:val="left" w:pos="1134"/>
        </w:tabs>
        <w:spacing w:line="360" w:lineRule="auto"/>
        <w:ind w:left="1134"/>
        <w:contextualSpacing/>
        <w:jc w:val="both"/>
        <w:rPr>
          <w:sz w:val="22"/>
          <w:szCs w:val="22"/>
        </w:rPr>
      </w:pPr>
    </w:p>
    <w:p w:rsidR="0096129F" w:rsidRDefault="0096129F" w:rsidP="00A704A0">
      <w:pPr>
        <w:pStyle w:val="Default"/>
        <w:tabs>
          <w:tab w:val="left" w:pos="1134"/>
        </w:tabs>
        <w:spacing w:line="360" w:lineRule="auto"/>
        <w:ind w:left="1134"/>
        <w:contextualSpacing/>
        <w:jc w:val="both"/>
        <w:rPr>
          <w:sz w:val="22"/>
          <w:szCs w:val="22"/>
        </w:rPr>
      </w:pPr>
    </w:p>
    <w:p w:rsidR="0096129F" w:rsidRDefault="0096129F" w:rsidP="00A704A0">
      <w:pPr>
        <w:pStyle w:val="Default"/>
        <w:tabs>
          <w:tab w:val="left" w:pos="1134"/>
        </w:tabs>
        <w:spacing w:line="360" w:lineRule="auto"/>
        <w:ind w:left="1134"/>
        <w:contextualSpacing/>
        <w:jc w:val="both"/>
        <w:rPr>
          <w:sz w:val="22"/>
          <w:szCs w:val="22"/>
        </w:rPr>
      </w:pPr>
    </w:p>
    <w:p w:rsidR="00557584" w:rsidRPr="008F709C" w:rsidRDefault="00557584" w:rsidP="00A704A0">
      <w:pPr>
        <w:pStyle w:val="Default"/>
        <w:tabs>
          <w:tab w:val="left" w:pos="1134"/>
        </w:tabs>
        <w:spacing w:line="360" w:lineRule="auto"/>
        <w:ind w:left="1134"/>
        <w:contextualSpacing/>
        <w:jc w:val="both"/>
        <w:rPr>
          <w:sz w:val="22"/>
          <w:szCs w:val="22"/>
        </w:rPr>
      </w:pPr>
    </w:p>
    <w:sectPr w:rsidR="00557584" w:rsidRPr="008F709C" w:rsidSect="00A704A0">
      <w:footerReference w:type="default" r:id="rId10"/>
      <w:pgSz w:w="11906" w:h="16838"/>
      <w:pgMar w:top="993" w:right="849" w:bottom="1985"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4C6" w:rsidRDefault="007F24C6" w:rsidP="006313A3">
      <w:pPr>
        <w:spacing w:after="0" w:line="240" w:lineRule="auto"/>
      </w:pPr>
      <w:r>
        <w:separator/>
      </w:r>
    </w:p>
  </w:endnote>
  <w:endnote w:type="continuationSeparator" w:id="0">
    <w:p w:rsidR="007F24C6" w:rsidRDefault="007F24C6" w:rsidP="00631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5838753"/>
      <w:docPartObj>
        <w:docPartGallery w:val="Page Numbers (Bottom of Page)"/>
        <w:docPartUnique/>
      </w:docPartObj>
    </w:sdtPr>
    <w:sdtContent>
      <w:sdt>
        <w:sdtPr>
          <w:rPr>
            <w:sz w:val="18"/>
            <w:szCs w:val="18"/>
          </w:rPr>
          <w:id w:val="15838754"/>
          <w:docPartObj>
            <w:docPartGallery w:val="Page Numbers (Top of Page)"/>
            <w:docPartUnique/>
          </w:docPartObj>
        </w:sdtPr>
        <w:sdtContent>
          <w:p w:rsidR="006A0144" w:rsidRDefault="006A0144">
            <w:pPr>
              <w:pStyle w:val="Fuzeile"/>
              <w:jc w:val="right"/>
              <w:rPr>
                <w:sz w:val="18"/>
                <w:szCs w:val="18"/>
              </w:rPr>
            </w:pPr>
          </w:p>
          <w:p w:rsidR="006A0144" w:rsidRPr="006313A3" w:rsidRDefault="006A0144">
            <w:pPr>
              <w:pStyle w:val="Fuzeile"/>
              <w:jc w:val="right"/>
              <w:rPr>
                <w:sz w:val="18"/>
                <w:szCs w:val="18"/>
              </w:rPr>
            </w:pPr>
            <w:r w:rsidRPr="006313A3">
              <w:rPr>
                <w:sz w:val="18"/>
                <w:szCs w:val="18"/>
              </w:rPr>
              <w:t xml:space="preserve">Seite </w:t>
            </w:r>
            <w:r w:rsidR="00770483" w:rsidRPr="006313A3">
              <w:rPr>
                <w:sz w:val="18"/>
                <w:szCs w:val="18"/>
              </w:rPr>
              <w:fldChar w:fldCharType="begin"/>
            </w:r>
            <w:r w:rsidRPr="006313A3">
              <w:rPr>
                <w:sz w:val="18"/>
                <w:szCs w:val="18"/>
              </w:rPr>
              <w:instrText>PAGE</w:instrText>
            </w:r>
            <w:r w:rsidR="00770483" w:rsidRPr="006313A3">
              <w:rPr>
                <w:sz w:val="18"/>
                <w:szCs w:val="18"/>
              </w:rPr>
              <w:fldChar w:fldCharType="separate"/>
            </w:r>
            <w:r w:rsidR="005279FC">
              <w:rPr>
                <w:noProof/>
                <w:sz w:val="18"/>
                <w:szCs w:val="18"/>
              </w:rPr>
              <w:t>8</w:t>
            </w:r>
            <w:r w:rsidR="00770483" w:rsidRPr="006313A3">
              <w:rPr>
                <w:sz w:val="18"/>
                <w:szCs w:val="18"/>
              </w:rPr>
              <w:fldChar w:fldCharType="end"/>
            </w:r>
            <w:r w:rsidRPr="006313A3">
              <w:rPr>
                <w:sz w:val="18"/>
                <w:szCs w:val="18"/>
              </w:rPr>
              <w:t xml:space="preserve"> von </w:t>
            </w:r>
            <w:r w:rsidR="00770483" w:rsidRPr="006313A3">
              <w:rPr>
                <w:sz w:val="18"/>
                <w:szCs w:val="18"/>
              </w:rPr>
              <w:fldChar w:fldCharType="begin"/>
            </w:r>
            <w:r w:rsidRPr="006313A3">
              <w:rPr>
                <w:sz w:val="18"/>
                <w:szCs w:val="18"/>
              </w:rPr>
              <w:instrText>NUMPAGES</w:instrText>
            </w:r>
            <w:r w:rsidR="00770483" w:rsidRPr="006313A3">
              <w:rPr>
                <w:sz w:val="18"/>
                <w:szCs w:val="18"/>
              </w:rPr>
              <w:fldChar w:fldCharType="separate"/>
            </w:r>
            <w:r w:rsidR="005279FC">
              <w:rPr>
                <w:noProof/>
                <w:sz w:val="18"/>
                <w:szCs w:val="18"/>
              </w:rPr>
              <w:t>9</w:t>
            </w:r>
            <w:r w:rsidR="00770483" w:rsidRPr="006313A3">
              <w:rPr>
                <w:sz w:val="18"/>
                <w:szCs w:val="18"/>
              </w:rPr>
              <w:fldChar w:fldCharType="end"/>
            </w:r>
          </w:p>
        </w:sdtContent>
      </w:sdt>
    </w:sdtContent>
  </w:sdt>
  <w:p w:rsidR="006A0144" w:rsidRDefault="006A014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4C6" w:rsidRDefault="007F24C6" w:rsidP="006313A3">
      <w:pPr>
        <w:spacing w:after="0" w:line="240" w:lineRule="auto"/>
      </w:pPr>
      <w:r>
        <w:separator/>
      </w:r>
    </w:p>
  </w:footnote>
  <w:footnote w:type="continuationSeparator" w:id="0">
    <w:p w:rsidR="007F24C6" w:rsidRDefault="007F24C6" w:rsidP="006313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DA18BA"/>
    <w:rsid w:val="00062A1B"/>
    <w:rsid w:val="00103C5B"/>
    <w:rsid w:val="001D216C"/>
    <w:rsid w:val="0021108A"/>
    <w:rsid w:val="003478ED"/>
    <w:rsid w:val="00376BDF"/>
    <w:rsid w:val="0038452C"/>
    <w:rsid w:val="00424B6E"/>
    <w:rsid w:val="00453FAA"/>
    <w:rsid w:val="004877D8"/>
    <w:rsid w:val="004A7912"/>
    <w:rsid w:val="004F104E"/>
    <w:rsid w:val="004F71E1"/>
    <w:rsid w:val="005279FC"/>
    <w:rsid w:val="00557584"/>
    <w:rsid w:val="00577F4D"/>
    <w:rsid w:val="00630045"/>
    <w:rsid w:val="006313A3"/>
    <w:rsid w:val="00685CA1"/>
    <w:rsid w:val="006A0144"/>
    <w:rsid w:val="006C2DC4"/>
    <w:rsid w:val="006D6C65"/>
    <w:rsid w:val="007418AA"/>
    <w:rsid w:val="00744940"/>
    <w:rsid w:val="00770483"/>
    <w:rsid w:val="00780EED"/>
    <w:rsid w:val="007F24C6"/>
    <w:rsid w:val="008663A2"/>
    <w:rsid w:val="0088016F"/>
    <w:rsid w:val="008F2C71"/>
    <w:rsid w:val="008F709C"/>
    <w:rsid w:val="0096129F"/>
    <w:rsid w:val="009E36E1"/>
    <w:rsid w:val="00A44C33"/>
    <w:rsid w:val="00A704A0"/>
    <w:rsid w:val="00A914E6"/>
    <w:rsid w:val="00AB69DE"/>
    <w:rsid w:val="00B00F23"/>
    <w:rsid w:val="00B124DE"/>
    <w:rsid w:val="00B768B5"/>
    <w:rsid w:val="00BB6BE9"/>
    <w:rsid w:val="00C16F8E"/>
    <w:rsid w:val="00C3100A"/>
    <w:rsid w:val="00C5207D"/>
    <w:rsid w:val="00C854BA"/>
    <w:rsid w:val="00C924AF"/>
    <w:rsid w:val="00C944F6"/>
    <w:rsid w:val="00CA0A3A"/>
    <w:rsid w:val="00DA18BA"/>
    <w:rsid w:val="00E83FB7"/>
    <w:rsid w:val="00F31B09"/>
    <w:rsid w:val="00F9387B"/>
    <w:rsid w:val="00FB19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68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44C33"/>
    <w:rPr>
      <w:color w:val="0000FF"/>
      <w:u w:val="single"/>
    </w:rPr>
  </w:style>
  <w:style w:type="paragraph" w:customStyle="1" w:styleId="Default">
    <w:name w:val="Default"/>
    <w:rsid w:val="008F709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semiHidden/>
    <w:unhideWhenUsed/>
    <w:rsid w:val="006313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313A3"/>
  </w:style>
  <w:style w:type="paragraph" w:styleId="Fuzeile">
    <w:name w:val="footer"/>
    <w:basedOn w:val="Standard"/>
    <w:link w:val="FuzeileZchn"/>
    <w:uiPriority w:val="99"/>
    <w:unhideWhenUsed/>
    <w:rsid w:val="006313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13A3"/>
  </w:style>
  <w:style w:type="paragraph" w:styleId="Sprechblasentext">
    <w:name w:val="Balloon Text"/>
    <w:basedOn w:val="Standard"/>
    <w:link w:val="SprechblasentextZchn"/>
    <w:uiPriority w:val="99"/>
    <w:semiHidden/>
    <w:unhideWhenUsed/>
    <w:rsid w:val="006313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1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515454">
      <w:bodyDiv w:val="1"/>
      <w:marLeft w:val="0"/>
      <w:marRight w:val="0"/>
      <w:marTop w:val="0"/>
      <w:marBottom w:val="0"/>
      <w:divBdr>
        <w:top w:val="none" w:sz="0" w:space="0" w:color="auto"/>
        <w:left w:val="none" w:sz="0" w:space="0" w:color="auto"/>
        <w:bottom w:val="none" w:sz="0" w:space="0" w:color="auto"/>
        <w:right w:val="none" w:sz="0" w:space="0" w:color="auto"/>
      </w:divBdr>
    </w:div>
    <w:div w:id="645742708">
      <w:bodyDiv w:val="1"/>
      <w:marLeft w:val="0"/>
      <w:marRight w:val="0"/>
      <w:marTop w:val="0"/>
      <w:marBottom w:val="0"/>
      <w:divBdr>
        <w:top w:val="none" w:sz="0" w:space="0" w:color="auto"/>
        <w:left w:val="none" w:sz="0" w:space="0" w:color="auto"/>
        <w:bottom w:val="none" w:sz="0" w:space="0" w:color="auto"/>
        <w:right w:val="none" w:sz="0" w:space="0" w:color="auto"/>
      </w:divBdr>
    </w:div>
    <w:div w:id="961571119">
      <w:bodyDiv w:val="1"/>
      <w:marLeft w:val="0"/>
      <w:marRight w:val="0"/>
      <w:marTop w:val="0"/>
      <w:marBottom w:val="0"/>
      <w:divBdr>
        <w:top w:val="none" w:sz="0" w:space="0" w:color="auto"/>
        <w:left w:val="none" w:sz="0" w:space="0" w:color="auto"/>
        <w:bottom w:val="none" w:sz="0" w:space="0" w:color="auto"/>
        <w:right w:val="none" w:sz="0" w:space="0" w:color="auto"/>
      </w:divBdr>
    </w:div>
    <w:div w:id="1038621836">
      <w:bodyDiv w:val="1"/>
      <w:marLeft w:val="0"/>
      <w:marRight w:val="0"/>
      <w:marTop w:val="0"/>
      <w:marBottom w:val="0"/>
      <w:divBdr>
        <w:top w:val="none" w:sz="0" w:space="0" w:color="auto"/>
        <w:left w:val="none" w:sz="0" w:space="0" w:color="auto"/>
        <w:bottom w:val="none" w:sz="0" w:space="0" w:color="auto"/>
        <w:right w:val="none" w:sz="0" w:space="0" w:color="auto"/>
      </w:divBdr>
    </w:div>
    <w:div w:id="1144195699">
      <w:bodyDiv w:val="1"/>
      <w:marLeft w:val="0"/>
      <w:marRight w:val="0"/>
      <w:marTop w:val="0"/>
      <w:marBottom w:val="0"/>
      <w:divBdr>
        <w:top w:val="none" w:sz="0" w:space="0" w:color="auto"/>
        <w:left w:val="none" w:sz="0" w:space="0" w:color="auto"/>
        <w:bottom w:val="none" w:sz="0" w:space="0" w:color="auto"/>
        <w:right w:val="none" w:sz="0" w:space="0" w:color="auto"/>
      </w:divBdr>
    </w:div>
    <w:div w:id="1681466572">
      <w:bodyDiv w:val="1"/>
      <w:marLeft w:val="0"/>
      <w:marRight w:val="0"/>
      <w:marTop w:val="0"/>
      <w:marBottom w:val="0"/>
      <w:divBdr>
        <w:top w:val="none" w:sz="0" w:space="0" w:color="auto"/>
        <w:left w:val="none" w:sz="0" w:space="0" w:color="auto"/>
        <w:bottom w:val="none" w:sz="0" w:space="0" w:color="auto"/>
        <w:right w:val="none" w:sz="0" w:space="0" w:color="auto"/>
      </w:divBdr>
    </w:div>
    <w:div w:id="214403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Europ%C3%A4isches_Komitee_f%C3%BCr_Normung" TargetMode="External"/><Relationship Id="rId3" Type="http://schemas.openxmlformats.org/officeDocument/2006/relationships/webSettings" Target="webSettings.xml"/><Relationship Id="rId7" Type="http://schemas.openxmlformats.org/officeDocument/2006/relationships/hyperlink" Target="http://de.wikipedia.org/wiki/Europ%C3%A4ische_Nor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wikipedia.org/wiki/DIN-Nor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e.wikipedia.org/wiki/Europ%C3%A4ische_Kommissio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2876</Words>
  <Characters>18120</Characters>
  <Application>Microsoft Office Word</Application>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dc:creator>
  <cp:lastModifiedBy>RPE</cp:lastModifiedBy>
  <cp:revision>3</cp:revision>
  <cp:lastPrinted>2012-10-14T12:59:00Z</cp:lastPrinted>
  <dcterms:created xsi:type="dcterms:W3CDTF">2012-10-15T07:55:00Z</dcterms:created>
  <dcterms:modified xsi:type="dcterms:W3CDTF">2012-10-22T05:24:00Z</dcterms:modified>
</cp:coreProperties>
</file>